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8192" w14:textId="77777777" w:rsidR="004F7A96" w:rsidRPr="00755BA5" w:rsidRDefault="004F7A96" w:rsidP="004F7A9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
        </w:rPr>
        <w:t>Қ</w:t>
      </w:r>
      <w:r w:rsidRPr="00755BA5">
        <w:rPr>
          <w:rFonts w:ascii="Times New Roman" w:hAnsi="Times New Roman" w:cs="Times New Roman"/>
          <w:i/>
          <w:sz w:val="24"/>
          <w:szCs w:val="24"/>
          <w:lang w:val="kk"/>
        </w:rPr>
        <w:t xml:space="preserve">ызметтің экологиялық, әлеуметтік және басқарушылық аспектілері бойынша </w:t>
      </w:r>
    </w:p>
    <w:p w14:paraId="22C48F4A" w14:textId="002E3678" w:rsidR="00DA33E8" w:rsidRPr="00755BA5" w:rsidRDefault="004F7A96" w:rsidP="00DA33E8">
      <w:pPr>
        <w:spacing w:after="0" w:line="240" w:lineRule="auto"/>
        <w:jc w:val="center"/>
        <w:rPr>
          <w:rFonts w:ascii="Times New Roman" w:hAnsi="Times New Roman" w:cs="Times New Roman"/>
          <w:i/>
          <w:sz w:val="24"/>
          <w:szCs w:val="24"/>
        </w:rPr>
      </w:pPr>
      <w:r w:rsidRPr="00755BA5">
        <w:rPr>
          <w:rFonts w:ascii="Times New Roman" w:hAnsi="Times New Roman" w:cs="Times New Roman"/>
          <w:i/>
          <w:sz w:val="24"/>
          <w:szCs w:val="24"/>
          <w:lang w:val="kk"/>
        </w:rPr>
        <w:t xml:space="preserve">(ESG факторлары) </w:t>
      </w:r>
      <w:r>
        <w:rPr>
          <w:rFonts w:ascii="Times New Roman" w:hAnsi="Times New Roman" w:cs="Times New Roman"/>
          <w:i/>
          <w:sz w:val="24"/>
          <w:szCs w:val="24"/>
          <w:lang w:val="kk"/>
        </w:rPr>
        <w:t>қ</w:t>
      </w:r>
      <w:r w:rsidRPr="00755BA5">
        <w:rPr>
          <w:rFonts w:ascii="Times New Roman" w:hAnsi="Times New Roman" w:cs="Times New Roman"/>
          <w:i/>
          <w:sz w:val="24"/>
          <w:szCs w:val="24"/>
          <w:lang w:val="kk"/>
        </w:rPr>
        <w:t>арызды /қаржы лизингін/жобалық қаржыландыруды сақтандыруға өтініш берушінің</w:t>
      </w:r>
    </w:p>
    <w:p w14:paraId="7A9A2F0C" w14:textId="77777777" w:rsidR="004F7A96" w:rsidRPr="00755BA5" w:rsidRDefault="004F7A96" w:rsidP="004F7A96">
      <w:pPr>
        <w:spacing w:after="0" w:line="240" w:lineRule="auto"/>
        <w:jc w:val="center"/>
        <w:rPr>
          <w:rFonts w:ascii="Times New Roman" w:hAnsi="Times New Roman" w:cs="Times New Roman"/>
          <w:b/>
          <w:sz w:val="24"/>
          <w:szCs w:val="24"/>
        </w:rPr>
      </w:pPr>
      <w:r w:rsidRPr="00755BA5">
        <w:rPr>
          <w:rFonts w:ascii="Times New Roman" w:hAnsi="Times New Roman" w:cs="Times New Roman"/>
          <w:b/>
          <w:sz w:val="24"/>
          <w:szCs w:val="24"/>
          <w:lang w:val="kk"/>
        </w:rPr>
        <w:t xml:space="preserve">Сауалнамасы </w:t>
      </w:r>
    </w:p>
    <w:p w14:paraId="28A4F958" w14:textId="77777777" w:rsidR="00DA33E8" w:rsidRPr="00755BA5" w:rsidRDefault="00DA33E8" w:rsidP="00DA33E8">
      <w:pPr>
        <w:spacing w:after="0" w:line="240" w:lineRule="auto"/>
        <w:jc w:val="center"/>
        <w:rPr>
          <w:rFonts w:ascii="Times New Roman" w:hAnsi="Times New Roman" w:cs="Times New Roman"/>
          <w:sz w:val="24"/>
          <w:szCs w:val="24"/>
        </w:rPr>
      </w:pPr>
    </w:p>
    <w:p w14:paraId="5BFE69AD" w14:textId="77777777" w:rsidR="00DA33E8" w:rsidRPr="00755BA5" w:rsidRDefault="00B468FF" w:rsidP="00DA33E8">
      <w:pPr>
        <w:pBdr>
          <w:bottom w:val="single" w:sz="12" w:space="1" w:color="auto"/>
        </w:pBdr>
        <w:spacing w:after="0" w:line="240" w:lineRule="auto"/>
        <w:rPr>
          <w:rFonts w:ascii="Times New Roman" w:hAnsi="Times New Roman" w:cs="Times New Roman"/>
          <w:sz w:val="24"/>
          <w:szCs w:val="24"/>
        </w:rPr>
      </w:pPr>
      <w:r w:rsidRPr="00755BA5">
        <w:rPr>
          <w:rFonts w:ascii="Times New Roman" w:hAnsi="Times New Roman" w:cs="Times New Roman"/>
          <w:sz w:val="24"/>
          <w:szCs w:val="24"/>
          <w:lang w:val="kk"/>
        </w:rPr>
        <w:t>Жалпы ақпарат блогы</w:t>
      </w:r>
    </w:p>
    <w:p w14:paraId="4A290157" w14:textId="77777777" w:rsidR="00DA33E8" w:rsidRPr="00755BA5" w:rsidRDefault="00DA33E8" w:rsidP="00DA33E8">
      <w:pPr>
        <w:spacing w:after="0" w:line="240" w:lineRule="auto"/>
        <w:rPr>
          <w:rFonts w:ascii="Times New Roman" w:hAnsi="Times New Roman" w:cs="Times New Roman"/>
          <w:sz w:val="24"/>
          <w:szCs w:val="24"/>
        </w:rPr>
      </w:pPr>
    </w:p>
    <w:p w14:paraId="22254B3C" w14:textId="77777777" w:rsidR="00DA33E8" w:rsidRPr="00755BA5" w:rsidRDefault="00B468FF" w:rsidP="00DA33E8">
      <w:pPr>
        <w:numPr>
          <w:ilvl w:val="0"/>
          <w:numId w:val="1"/>
        </w:numPr>
        <w:spacing w:after="0" w:line="240" w:lineRule="auto"/>
        <w:contextualSpacing/>
        <w:rPr>
          <w:rFonts w:ascii="Times New Roman" w:hAnsi="Times New Roman" w:cs="Times New Roman"/>
          <w:sz w:val="24"/>
          <w:szCs w:val="24"/>
        </w:rPr>
      </w:pPr>
      <w:r w:rsidRPr="00755BA5">
        <w:rPr>
          <w:rFonts w:ascii="Times New Roman" w:hAnsi="Times New Roman" w:cs="Times New Roman"/>
          <w:sz w:val="24"/>
          <w:szCs w:val="24"/>
          <w:lang w:val="kk"/>
        </w:rPr>
        <w:t>Толық атауы:</w:t>
      </w:r>
    </w:p>
    <w:p w14:paraId="0BC41477" w14:textId="77777777" w:rsidR="00DA33E8" w:rsidRPr="00755BA5" w:rsidRDefault="00B468FF" w:rsidP="00DA33E8">
      <w:pPr>
        <w:numPr>
          <w:ilvl w:val="0"/>
          <w:numId w:val="1"/>
        </w:numPr>
        <w:spacing w:after="0" w:line="240" w:lineRule="auto"/>
        <w:contextualSpacing/>
        <w:rPr>
          <w:rFonts w:ascii="Times New Roman" w:hAnsi="Times New Roman" w:cs="Times New Roman"/>
          <w:sz w:val="24"/>
          <w:szCs w:val="24"/>
        </w:rPr>
      </w:pPr>
      <w:r w:rsidRPr="00755BA5">
        <w:rPr>
          <w:rFonts w:ascii="Times New Roman" w:hAnsi="Times New Roman" w:cs="Times New Roman"/>
          <w:sz w:val="24"/>
          <w:szCs w:val="24"/>
          <w:lang w:val="kk"/>
        </w:rPr>
        <w:t>Сала:</w:t>
      </w:r>
    </w:p>
    <w:p w14:paraId="7C51E0A2" w14:textId="77777777" w:rsidR="00DA33E8" w:rsidRPr="00755BA5" w:rsidRDefault="00B468FF" w:rsidP="00DA33E8">
      <w:pPr>
        <w:numPr>
          <w:ilvl w:val="0"/>
          <w:numId w:val="1"/>
        </w:numPr>
        <w:spacing w:after="0" w:line="240" w:lineRule="auto"/>
        <w:contextualSpacing/>
        <w:rPr>
          <w:rFonts w:ascii="Times New Roman" w:hAnsi="Times New Roman" w:cs="Times New Roman"/>
          <w:sz w:val="24"/>
          <w:szCs w:val="24"/>
        </w:rPr>
      </w:pPr>
      <w:r w:rsidRPr="00755BA5">
        <w:rPr>
          <w:rFonts w:ascii="Times New Roman" w:hAnsi="Times New Roman" w:cs="Times New Roman"/>
          <w:sz w:val="24"/>
          <w:szCs w:val="24"/>
          <w:lang w:val="kk"/>
        </w:rPr>
        <w:t>Құрылған</w:t>
      </w:r>
      <w:r w:rsidRPr="00755BA5">
        <w:rPr>
          <w:rFonts w:ascii="Times New Roman" w:hAnsi="Times New Roman" w:cs="Times New Roman"/>
          <w:sz w:val="24"/>
          <w:szCs w:val="24"/>
          <w:lang w:val="kk"/>
        </w:rPr>
        <w:t xml:space="preserve"> күні:</w:t>
      </w:r>
    </w:p>
    <w:p w14:paraId="6C23AB06" w14:textId="77777777" w:rsidR="00DA33E8" w:rsidRPr="00755BA5" w:rsidRDefault="00B468FF" w:rsidP="00DA33E8">
      <w:pPr>
        <w:numPr>
          <w:ilvl w:val="0"/>
          <w:numId w:val="1"/>
        </w:numPr>
        <w:spacing w:after="0" w:line="240" w:lineRule="auto"/>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Бұрынғы атауы </w:t>
      </w:r>
      <w:r w:rsidRPr="00755BA5">
        <w:rPr>
          <w:rFonts w:ascii="Times New Roman" w:hAnsi="Times New Roman" w:cs="Times New Roman"/>
          <w:sz w:val="24"/>
          <w:szCs w:val="24"/>
          <w:lang w:val="kk"/>
        </w:rPr>
        <w:t>(бар болса)</w:t>
      </w:r>
    </w:p>
    <w:p w14:paraId="2F64EEE8" w14:textId="77777777" w:rsidR="00DA33E8" w:rsidRPr="00755BA5" w:rsidRDefault="00B468FF" w:rsidP="00DA33E8">
      <w:pPr>
        <w:numPr>
          <w:ilvl w:val="0"/>
          <w:numId w:val="1"/>
        </w:numPr>
        <w:spacing w:after="0" w:line="240" w:lineRule="auto"/>
        <w:contextualSpacing/>
        <w:rPr>
          <w:rFonts w:ascii="Times New Roman" w:hAnsi="Times New Roman" w:cs="Times New Roman"/>
          <w:sz w:val="24"/>
          <w:szCs w:val="24"/>
        </w:rPr>
      </w:pPr>
      <w:r w:rsidRPr="00755BA5">
        <w:rPr>
          <w:rFonts w:ascii="Times New Roman" w:hAnsi="Times New Roman" w:cs="Times New Roman"/>
          <w:sz w:val="24"/>
          <w:szCs w:val="24"/>
          <w:lang w:val="kk"/>
        </w:rPr>
        <w:t>Осы сауалнаманы толтырған тұлғаның байланыс деректері</w:t>
      </w:r>
    </w:p>
    <w:p w14:paraId="4E2DF925" w14:textId="77777777" w:rsidR="00DA33E8" w:rsidRPr="00755BA5" w:rsidRDefault="00DA33E8" w:rsidP="00DA33E8">
      <w:pPr>
        <w:spacing w:after="0" w:line="240" w:lineRule="auto"/>
        <w:rPr>
          <w:rFonts w:ascii="Times New Roman" w:hAnsi="Times New Roman" w:cs="Times New Roman"/>
          <w:sz w:val="24"/>
          <w:szCs w:val="24"/>
        </w:rPr>
      </w:pPr>
    </w:p>
    <w:p w14:paraId="54BBE97D" w14:textId="7869E807" w:rsidR="00DA33E8" w:rsidRPr="004F7A96" w:rsidRDefault="00B468FF" w:rsidP="00DA33E8">
      <w:pPr>
        <w:spacing w:after="0" w:line="240" w:lineRule="auto"/>
        <w:ind w:firstLine="709"/>
        <w:contextualSpacing/>
        <w:jc w:val="both"/>
        <w:rPr>
          <w:rFonts w:ascii="Times New Roman" w:hAnsi="Times New Roman" w:cs="Times New Roman"/>
          <w:i/>
          <w:sz w:val="24"/>
          <w:szCs w:val="24"/>
          <w:lang w:val="kk"/>
        </w:rPr>
      </w:pPr>
      <w:r w:rsidRPr="00755BA5">
        <w:rPr>
          <w:rFonts w:ascii="Times New Roman" w:hAnsi="Times New Roman" w:cs="Times New Roman"/>
          <w:i/>
          <w:sz w:val="24"/>
          <w:szCs w:val="24"/>
          <w:lang w:val="kk"/>
        </w:rPr>
        <w:t>Осы сауалнама өтініш берушіге оның кәсіпорны қызметінің экологиялық, әлеуметтік және басқарушылық аспектілеріне қатысты қарызды (жобалық қаржыландыруды) сақтандыруға арналған сұрақтар тізбесін (3 блок) қамтиды. Қандай да бір позициялар не ақпарат көзі бойынша сұратылған мәліметтер болмаған жағдайда – респондент тиісті белгі (</w:t>
      </w:r>
      <w:r w:rsidR="004F7A96">
        <w:rPr>
          <w:rFonts w:ascii="Times New Roman" w:hAnsi="Times New Roman" w:cs="Times New Roman"/>
          <w:i/>
          <w:sz w:val="24"/>
          <w:szCs w:val="24"/>
          <w:lang w:val="kk"/>
        </w:rPr>
        <w:t>«</w:t>
      </w:r>
      <w:r w:rsidRPr="00755BA5">
        <w:rPr>
          <w:rFonts w:ascii="Times New Roman" w:hAnsi="Times New Roman" w:cs="Times New Roman"/>
          <w:i/>
          <w:sz w:val="24"/>
          <w:szCs w:val="24"/>
          <w:lang w:val="kk"/>
        </w:rPr>
        <w:t>көзделмеген</w:t>
      </w:r>
      <w:r w:rsidR="004F7A96">
        <w:rPr>
          <w:rFonts w:ascii="Times New Roman" w:hAnsi="Times New Roman" w:cs="Times New Roman"/>
          <w:i/>
          <w:sz w:val="24"/>
          <w:szCs w:val="24"/>
          <w:lang w:val="kk"/>
        </w:rPr>
        <w:t>»</w:t>
      </w:r>
      <w:r w:rsidRPr="00755BA5">
        <w:rPr>
          <w:rFonts w:ascii="Times New Roman" w:hAnsi="Times New Roman" w:cs="Times New Roman"/>
          <w:i/>
          <w:sz w:val="24"/>
          <w:szCs w:val="24"/>
          <w:lang w:val="kk"/>
        </w:rPr>
        <w:t xml:space="preserve"> немесе </w:t>
      </w:r>
      <w:r w:rsidR="004F7A96">
        <w:rPr>
          <w:rFonts w:ascii="Times New Roman" w:hAnsi="Times New Roman" w:cs="Times New Roman"/>
          <w:i/>
          <w:sz w:val="24"/>
          <w:szCs w:val="24"/>
          <w:lang w:val="kk"/>
        </w:rPr>
        <w:t>«</w:t>
      </w:r>
      <w:r w:rsidRPr="00755BA5">
        <w:rPr>
          <w:rFonts w:ascii="Times New Roman" w:hAnsi="Times New Roman" w:cs="Times New Roman"/>
          <w:i/>
          <w:sz w:val="24"/>
          <w:szCs w:val="24"/>
          <w:lang w:val="kk"/>
        </w:rPr>
        <w:t>қолданылмайды</w:t>
      </w:r>
      <w:r w:rsidR="004F7A96">
        <w:rPr>
          <w:rFonts w:ascii="Times New Roman" w:hAnsi="Times New Roman" w:cs="Times New Roman"/>
          <w:i/>
          <w:sz w:val="24"/>
          <w:szCs w:val="24"/>
          <w:lang w:val="kk"/>
        </w:rPr>
        <w:t>»</w:t>
      </w:r>
      <w:r w:rsidRPr="00755BA5">
        <w:rPr>
          <w:rFonts w:ascii="Times New Roman" w:hAnsi="Times New Roman" w:cs="Times New Roman"/>
          <w:i/>
          <w:sz w:val="24"/>
          <w:szCs w:val="24"/>
          <w:lang w:val="kk"/>
        </w:rPr>
        <w:t xml:space="preserve">) жасауы тиіс. Респондент сұрақтың тақырыбы бойынша түсіндірме </w:t>
      </w:r>
      <w:r w:rsidRPr="00755BA5">
        <w:rPr>
          <w:rFonts w:ascii="Times New Roman" w:hAnsi="Times New Roman" w:cs="Times New Roman"/>
          <w:i/>
          <w:sz w:val="24"/>
          <w:szCs w:val="24"/>
          <w:lang w:val="kk"/>
        </w:rPr>
        <w:t>комментарийлер, ескертпелер, қосымша мәліметтер қоса алады.</w:t>
      </w:r>
    </w:p>
    <w:p w14:paraId="47F95393" w14:textId="77777777" w:rsidR="00DA33E8" w:rsidRPr="004F7A96" w:rsidRDefault="00B468FF" w:rsidP="00DA33E8">
      <w:pPr>
        <w:spacing w:after="0" w:line="240" w:lineRule="auto"/>
        <w:ind w:firstLine="709"/>
        <w:contextualSpacing/>
        <w:jc w:val="both"/>
        <w:rPr>
          <w:rFonts w:ascii="Times New Roman" w:hAnsi="Times New Roman" w:cs="Times New Roman"/>
          <w:i/>
          <w:sz w:val="24"/>
          <w:szCs w:val="24"/>
          <w:lang w:val="kk"/>
        </w:rPr>
      </w:pPr>
      <w:r w:rsidRPr="00755BA5">
        <w:rPr>
          <w:rFonts w:ascii="Times New Roman" w:hAnsi="Times New Roman" w:cs="Times New Roman"/>
          <w:i/>
          <w:sz w:val="24"/>
          <w:szCs w:val="24"/>
          <w:lang w:val="kk"/>
        </w:rPr>
        <w:t>Сақтандырушы растайтын құжаттардың (ақпарат көздерінің) көшірмелері не өтініш берушінің кәсіпорын қызметінің экологиялық, әлеуметтік және басқарушылық аспектілері бойынша ақпаратты ашуға қатысты өзге де қосымша мәліметтер сұратылуы мүмкін.</w:t>
      </w:r>
    </w:p>
    <w:p w14:paraId="43080F36" w14:textId="77777777" w:rsidR="00DA33E8" w:rsidRPr="004F7A96" w:rsidRDefault="00B468FF" w:rsidP="00DA33E8">
      <w:pPr>
        <w:spacing w:after="0" w:line="240" w:lineRule="auto"/>
        <w:ind w:firstLine="720"/>
        <w:contextualSpacing/>
        <w:jc w:val="both"/>
        <w:rPr>
          <w:rFonts w:ascii="Times New Roman" w:hAnsi="Times New Roman" w:cs="Times New Roman"/>
          <w:i/>
          <w:sz w:val="24"/>
          <w:szCs w:val="24"/>
          <w:lang w:val="kk"/>
        </w:rPr>
      </w:pPr>
      <w:r w:rsidRPr="00755BA5">
        <w:rPr>
          <w:rFonts w:ascii="Times New Roman" w:hAnsi="Times New Roman" w:cs="Times New Roman"/>
          <w:i/>
          <w:sz w:val="24"/>
          <w:szCs w:val="24"/>
          <w:lang w:val="kk"/>
        </w:rPr>
        <w:t>Осы сауалнаманы толтыра отырып, клиент Сақтандырушыны оны толтыру кезінде ұсынылатын деректердің дұрыстығы мен өзектілігі туралы куәландырады.</w:t>
      </w:r>
    </w:p>
    <w:p w14:paraId="273C582B" w14:textId="77777777" w:rsidR="00DA33E8" w:rsidRPr="004F7A96" w:rsidRDefault="00DA33E8" w:rsidP="00DA33E8">
      <w:pPr>
        <w:spacing w:after="0" w:line="240" w:lineRule="auto"/>
        <w:ind w:left="720"/>
        <w:contextualSpacing/>
        <w:rPr>
          <w:rFonts w:ascii="Times New Roman" w:hAnsi="Times New Roman" w:cs="Times New Roman"/>
          <w:b/>
          <w:sz w:val="24"/>
          <w:szCs w:val="24"/>
          <w:lang w:val="kk"/>
        </w:rPr>
      </w:pPr>
    </w:p>
    <w:tbl>
      <w:tblPr>
        <w:tblStyle w:val="47"/>
        <w:tblW w:w="10207" w:type="dxa"/>
        <w:tblInd w:w="-431" w:type="dxa"/>
        <w:tblLayout w:type="fixed"/>
        <w:tblLook w:val="04A0" w:firstRow="1" w:lastRow="0" w:firstColumn="1" w:lastColumn="0" w:noHBand="0" w:noVBand="1"/>
      </w:tblPr>
      <w:tblGrid>
        <w:gridCol w:w="2835"/>
        <w:gridCol w:w="3899"/>
        <w:gridCol w:w="1265"/>
        <w:gridCol w:w="2208"/>
      </w:tblGrid>
      <w:tr w:rsidR="00441C18" w14:paraId="250E04BE" w14:textId="77777777" w:rsidTr="00B468FF">
        <w:trPr>
          <w:tblHeader/>
        </w:trPr>
        <w:tc>
          <w:tcPr>
            <w:tcW w:w="2835" w:type="dxa"/>
            <w:shd w:val="clear" w:color="auto" w:fill="9CC2E5" w:themeFill="accent1" w:themeFillTint="99"/>
          </w:tcPr>
          <w:p w14:paraId="510F4362" w14:textId="10834FA3"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 xml:space="preserve">Е блогының критерийлері / </w:t>
            </w:r>
            <w:r w:rsidR="004F7A96">
              <w:rPr>
                <w:rFonts w:ascii="Times New Roman" w:hAnsi="Times New Roman" w:cs="Times New Roman"/>
                <w:b/>
                <w:sz w:val="24"/>
                <w:szCs w:val="24"/>
                <w:lang w:val="kk"/>
              </w:rPr>
              <w:t>К</w:t>
            </w:r>
            <w:r w:rsidRPr="00755BA5">
              <w:rPr>
                <w:rFonts w:ascii="Times New Roman" w:hAnsi="Times New Roman" w:cs="Times New Roman"/>
                <w:b/>
                <w:sz w:val="24"/>
                <w:szCs w:val="24"/>
                <w:lang w:val="kk"/>
              </w:rPr>
              <w:t>ритерийлер тобы (экология)</w:t>
            </w:r>
          </w:p>
        </w:tc>
        <w:tc>
          <w:tcPr>
            <w:tcW w:w="3899" w:type="dxa"/>
            <w:shd w:val="clear" w:color="auto" w:fill="9CC2E5" w:themeFill="accent1" w:themeFillTint="99"/>
          </w:tcPr>
          <w:p w14:paraId="5198F7AB"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 xml:space="preserve">Ақпарат </w:t>
            </w:r>
            <w:r w:rsidRPr="00755BA5">
              <w:rPr>
                <w:rFonts w:ascii="Times New Roman" w:hAnsi="Times New Roman" w:cs="Times New Roman"/>
                <w:b/>
                <w:sz w:val="24"/>
                <w:szCs w:val="24"/>
                <w:lang w:val="kk"/>
              </w:rPr>
              <w:t>көзі</w:t>
            </w:r>
          </w:p>
        </w:tc>
        <w:tc>
          <w:tcPr>
            <w:tcW w:w="1265" w:type="dxa"/>
            <w:shd w:val="clear" w:color="auto" w:fill="9CC2E5" w:themeFill="accent1" w:themeFillTint="99"/>
          </w:tcPr>
          <w:p w14:paraId="746238A1" w14:textId="77777777" w:rsidR="00DA33E8" w:rsidRPr="00755BA5" w:rsidRDefault="00B468FF" w:rsidP="00762849">
            <w:pPr>
              <w:ind w:right="-100"/>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Критерий бойынша жеңілдік 0,5%</w:t>
            </w:r>
          </w:p>
        </w:tc>
        <w:tc>
          <w:tcPr>
            <w:tcW w:w="2208" w:type="dxa"/>
            <w:shd w:val="clear" w:color="auto" w:fill="9CC2E5" w:themeFill="accent1" w:themeFillTint="99"/>
          </w:tcPr>
          <w:p w14:paraId="77236CB3" w14:textId="77777777" w:rsidR="00DA33E8" w:rsidRPr="00755BA5" w:rsidRDefault="00B468FF" w:rsidP="00762849">
            <w:pPr>
              <w:ind w:right="-113"/>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 xml:space="preserve">Комментарийлер, </w:t>
            </w:r>
            <w:r w:rsidRPr="00755BA5">
              <w:rPr>
                <w:rFonts w:ascii="Times New Roman" w:hAnsi="Times New Roman" w:cs="Times New Roman"/>
                <w:b/>
                <w:sz w:val="24"/>
                <w:szCs w:val="24"/>
                <w:lang w:val="kk"/>
              </w:rPr>
              <w:t>е</w:t>
            </w:r>
            <w:r w:rsidRPr="00755BA5">
              <w:rPr>
                <w:rFonts w:ascii="Times New Roman" w:hAnsi="Times New Roman" w:cs="Times New Roman"/>
                <w:b/>
                <w:sz w:val="24"/>
                <w:szCs w:val="24"/>
                <w:lang w:val="kk"/>
              </w:rPr>
              <w:t>скертпелер</w:t>
            </w:r>
          </w:p>
        </w:tc>
      </w:tr>
      <w:tr w:rsidR="00441C18" w14:paraId="04A30861" w14:textId="77777777" w:rsidTr="00B468FF">
        <w:tc>
          <w:tcPr>
            <w:tcW w:w="10207" w:type="dxa"/>
            <w:gridSpan w:val="4"/>
            <w:shd w:val="clear" w:color="auto" w:fill="DEEAF6" w:themeFill="accent1" w:themeFillTint="33"/>
          </w:tcPr>
          <w:p w14:paraId="25D8AE4A" w14:textId="77777777" w:rsidR="00DA33E8" w:rsidRPr="00755BA5" w:rsidRDefault="00B468FF" w:rsidP="00762849">
            <w:pPr>
              <w:ind w:left="360"/>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1.Экологиялық рұқсат құжаттамасы</w:t>
            </w:r>
          </w:p>
        </w:tc>
      </w:tr>
      <w:tr w:rsidR="00441C18" w14:paraId="39CFB109" w14:textId="77777777" w:rsidTr="00B468FF">
        <w:tc>
          <w:tcPr>
            <w:tcW w:w="2835" w:type="dxa"/>
          </w:tcPr>
          <w:p w14:paraId="7D852D41" w14:textId="75BB6539" w:rsidR="00DA33E8" w:rsidRPr="00755BA5" w:rsidRDefault="00B468FF" w:rsidP="00F503CF">
            <w:pPr>
              <w:ind w:right="-115"/>
              <w:contextualSpacing/>
              <w:rPr>
                <w:rFonts w:ascii="Times New Roman" w:hAnsi="Times New Roman" w:cs="Times New Roman"/>
                <w:sz w:val="24"/>
                <w:szCs w:val="24"/>
              </w:rPr>
            </w:pPr>
            <w:r w:rsidRPr="00755BA5">
              <w:rPr>
                <w:rFonts w:ascii="Times New Roman" w:hAnsi="Times New Roman" w:cs="Times New Roman"/>
                <w:sz w:val="24"/>
                <w:szCs w:val="24"/>
                <w:lang w:val="kk"/>
              </w:rPr>
              <w:t>1.1. Жобаны іске асыруға байланысты экологиялық рұқсат беру құжаттамасының болуы</w:t>
            </w:r>
          </w:p>
        </w:tc>
        <w:tc>
          <w:tcPr>
            <w:tcW w:w="3899" w:type="dxa"/>
          </w:tcPr>
          <w:p w14:paraId="79260368"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Рұқсат беру құжаттамасы не болмаған жағдайда - жобаны іске асырудың </w:t>
            </w:r>
            <w:r w:rsidRPr="00755BA5">
              <w:rPr>
                <w:rFonts w:ascii="Times New Roman" w:hAnsi="Times New Roman" w:cs="Times New Roman"/>
                <w:sz w:val="24"/>
                <w:szCs w:val="24"/>
                <w:lang w:val="kk"/>
              </w:rPr>
              <w:t>бүкіл кезеңіне қолданыста болатын оны алу мәртебесі туралы ақпарат</w:t>
            </w:r>
          </w:p>
        </w:tc>
        <w:tc>
          <w:tcPr>
            <w:tcW w:w="1265" w:type="dxa"/>
          </w:tcPr>
          <w:p w14:paraId="425DA318" w14:textId="77777777" w:rsidR="00DA33E8" w:rsidRPr="00755BA5" w:rsidRDefault="00DA33E8" w:rsidP="00762849">
            <w:pPr>
              <w:contextualSpacing/>
              <w:rPr>
                <w:rFonts w:ascii="Times New Roman" w:hAnsi="Times New Roman" w:cs="Times New Roman"/>
                <w:sz w:val="24"/>
                <w:szCs w:val="24"/>
              </w:rPr>
            </w:pPr>
          </w:p>
        </w:tc>
        <w:tc>
          <w:tcPr>
            <w:tcW w:w="2208" w:type="dxa"/>
          </w:tcPr>
          <w:p w14:paraId="1D46A25E" w14:textId="77777777" w:rsidR="00DA33E8" w:rsidRPr="00755BA5" w:rsidRDefault="00DA33E8" w:rsidP="00762849">
            <w:pPr>
              <w:contextualSpacing/>
              <w:rPr>
                <w:rFonts w:ascii="Times New Roman" w:hAnsi="Times New Roman" w:cs="Times New Roman"/>
                <w:sz w:val="24"/>
                <w:szCs w:val="24"/>
              </w:rPr>
            </w:pPr>
          </w:p>
        </w:tc>
      </w:tr>
      <w:tr w:rsidR="00441C18" w14:paraId="55452FED" w14:textId="77777777" w:rsidTr="00B468FF">
        <w:tc>
          <w:tcPr>
            <w:tcW w:w="10207" w:type="dxa"/>
            <w:gridSpan w:val="4"/>
            <w:shd w:val="clear" w:color="auto" w:fill="DEEAF6" w:themeFill="accent1" w:themeFillTint="33"/>
          </w:tcPr>
          <w:p w14:paraId="6FC78BA5" w14:textId="77777777" w:rsidR="00DA33E8" w:rsidRPr="00755BA5" w:rsidRDefault="00B468FF" w:rsidP="00762849">
            <w:pPr>
              <w:ind w:firstLine="321"/>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2. Экологиялық менеджмент жүйесі</w:t>
            </w:r>
          </w:p>
        </w:tc>
      </w:tr>
      <w:tr w:rsidR="00441C18" w:rsidRPr="00B468FF" w14:paraId="176CE2C5" w14:textId="77777777" w:rsidTr="00B468FF">
        <w:tc>
          <w:tcPr>
            <w:tcW w:w="2835" w:type="dxa"/>
          </w:tcPr>
          <w:p w14:paraId="5A4C8205"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2.1. Экологиялық менеджмент жүйесінің болуы (ЭМЖ)</w:t>
            </w:r>
          </w:p>
        </w:tc>
        <w:tc>
          <w:tcPr>
            <w:tcW w:w="3899" w:type="dxa"/>
          </w:tcPr>
          <w:p w14:paraId="4424DB60" w14:textId="77777777" w:rsidR="00DA33E8" w:rsidRPr="004F7A96" w:rsidRDefault="00B468FF" w:rsidP="00762849">
            <w:pPr>
              <w:contextualSpacing/>
              <w:rPr>
                <w:rFonts w:ascii="Times New Roman" w:hAnsi="Times New Roman" w:cs="Times New Roman"/>
                <w:sz w:val="24"/>
                <w:szCs w:val="24"/>
                <w:lang w:val="kk"/>
              </w:rPr>
            </w:pPr>
            <w:r w:rsidRPr="00755BA5">
              <w:rPr>
                <w:rFonts w:ascii="Times New Roman" w:hAnsi="Times New Roman" w:cs="Times New Roman"/>
                <w:sz w:val="24"/>
                <w:szCs w:val="24"/>
                <w:lang w:val="kk"/>
              </w:rPr>
              <w:t xml:space="preserve">Экологиялық менеджмент жүйесінің және қолданыстағы ISO 14001 сертификатының болуы туралы </w:t>
            </w:r>
            <w:r w:rsidRPr="00755BA5">
              <w:rPr>
                <w:rFonts w:ascii="Times New Roman" w:hAnsi="Times New Roman" w:cs="Times New Roman"/>
                <w:sz w:val="24"/>
                <w:szCs w:val="24"/>
                <w:lang w:val="kk"/>
              </w:rPr>
              <w:t>ақпарат. Егер сертификаттың мерзімі өтіп кетсе, сертификатты жаңарту жоспарлары туралы ақпарат берілуі керек.</w:t>
            </w:r>
          </w:p>
        </w:tc>
        <w:tc>
          <w:tcPr>
            <w:tcW w:w="1265" w:type="dxa"/>
          </w:tcPr>
          <w:p w14:paraId="5500B862" w14:textId="77777777" w:rsidR="00DA33E8" w:rsidRPr="004F7A96" w:rsidRDefault="00DA33E8" w:rsidP="00762849">
            <w:pPr>
              <w:contextualSpacing/>
              <w:rPr>
                <w:rFonts w:ascii="Times New Roman" w:hAnsi="Times New Roman" w:cs="Times New Roman"/>
                <w:sz w:val="24"/>
                <w:szCs w:val="24"/>
                <w:lang w:val="kk"/>
              </w:rPr>
            </w:pPr>
          </w:p>
        </w:tc>
        <w:tc>
          <w:tcPr>
            <w:tcW w:w="2208" w:type="dxa"/>
          </w:tcPr>
          <w:p w14:paraId="17AE5E85" w14:textId="77777777" w:rsidR="00DA33E8" w:rsidRPr="004F7A96" w:rsidRDefault="00DA33E8" w:rsidP="00762849">
            <w:pPr>
              <w:contextualSpacing/>
              <w:rPr>
                <w:rFonts w:ascii="Times New Roman" w:hAnsi="Times New Roman" w:cs="Times New Roman"/>
                <w:sz w:val="24"/>
                <w:szCs w:val="24"/>
                <w:lang w:val="kk"/>
              </w:rPr>
            </w:pPr>
          </w:p>
        </w:tc>
      </w:tr>
      <w:tr w:rsidR="00441C18" w14:paraId="16921642" w14:textId="77777777" w:rsidTr="00B468FF">
        <w:tc>
          <w:tcPr>
            <w:tcW w:w="2835" w:type="dxa"/>
          </w:tcPr>
          <w:p w14:paraId="474459DC" w14:textId="70104AD2"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 xml:space="preserve">2.2. </w:t>
            </w:r>
            <w:r w:rsidR="004F7A96">
              <w:rPr>
                <w:rFonts w:ascii="Times New Roman" w:hAnsi="Times New Roman" w:cs="Times New Roman"/>
                <w:sz w:val="24"/>
                <w:szCs w:val="24"/>
                <w:lang w:val="kk"/>
              </w:rPr>
              <w:t>«</w:t>
            </w:r>
            <w:r w:rsidRPr="00755BA5">
              <w:rPr>
                <w:rFonts w:ascii="Times New Roman" w:hAnsi="Times New Roman" w:cs="Times New Roman"/>
                <w:sz w:val="24"/>
                <w:szCs w:val="24"/>
                <w:lang w:val="kk"/>
              </w:rPr>
              <w:t>Жасыл кеңсе</w:t>
            </w:r>
            <w:r w:rsidR="004F7A96">
              <w:rPr>
                <w:rFonts w:ascii="Times New Roman" w:hAnsi="Times New Roman" w:cs="Times New Roman"/>
                <w:sz w:val="24"/>
                <w:szCs w:val="24"/>
                <w:lang w:val="kk"/>
              </w:rPr>
              <w:t>»</w:t>
            </w:r>
            <w:r w:rsidRPr="00755BA5">
              <w:rPr>
                <w:rFonts w:ascii="Times New Roman" w:hAnsi="Times New Roman" w:cs="Times New Roman"/>
                <w:sz w:val="24"/>
                <w:szCs w:val="24"/>
                <w:lang w:val="kk"/>
              </w:rPr>
              <w:t xml:space="preserve"> бағдарламасының болуы</w:t>
            </w:r>
          </w:p>
        </w:tc>
        <w:tc>
          <w:tcPr>
            <w:tcW w:w="3899" w:type="dxa"/>
          </w:tcPr>
          <w:p w14:paraId="243832E7"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Кеңсе қызметкерлерін суды, қағазды, энергияны үнемдеу, қалдықтарды азайту, тұрмыстық </w:t>
            </w:r>
            <w:r w:rsidRPr="00755BA5">
              <w:rPr>
                <w:rFonts w:ascii="Times New Roman" w:hAnsi="Times New Roman" w:cs="Times New Roman"/>
                <w:sz w:val="24"/>
                <w:szCs w:val="24"/>
                <w:lang w:val="kk"/>
              </w:rPr>
              <w:lastRenderedPageBreak/>
              <w:t>қалдықтарды</w:t>
            </w:r>
            <w:r w:rsidRPr="00755BA5">
              <w:rPr>
                <w:rFonts w:ascii="Times New Roman" w:hAnsi="Times New Roman" w:cs="Times New Roman"/>
                <w:sz w:val="24"/>
                <w:szCs w:val="24"/>
                <w:lang w:val="kk"/>
              </w:rPr>
              <w:t xml:space="preserve"> қайта өңдеу/сұрыптау және экологиялық ағарту бойынша шаралар кешенінің болуы туралы ақпарат</w:t>
            </w:r>
          </w:p>
        </w:tc>
        <w:tc>
          <w:tcPr>
            <w:tcW w:w="1265" w:type="dxa"/>
          </w:tcPr>
          <w:p w14:paraId="1B058390" w14:textId="77777777" w:rsidR="00DA33E8" w:rsidRPr="00755BA5" w:rsidRDefault="00DA33E8" w:rsidP="00762849">
            <w:pPr>
              <w:contextualSpacing/>
              <w:rPr>
                <w:rFonts w:ascii="Times New Roman" w:hAnsi="Times New Roman" w:cs="Times New Roman"/>
                <w:sz w:val="24"/>
                <w:szCs w:val="24"/>
              </w:rPr>
            </w:pPr>
          </w:p>
        </w:tc>
        <w:tc>
          <w:tcPr>
            <w:tcW w:w="2208" w:type="dxa"/>
          </w:tcPr>
          <w:p w14:paraId="3D94F544" w14:textId="77777777" w:rsidR="00DA33E8" w:rsidRPr="00755BA5" w:rsidRDefault="00DA33E8" w:rsidP="00762849">
            <w:pPr>
              <w:contextualSpacing/>
              <w:rPr>
                <w:rFonts w:ascii="Times New Roman" w:hAnsi="Times New Roman" w:cs="Times New Roman"/>
                <w:sz w:val="24"/>
                <w:szCs w:val="24"/>
              </w:rPr>
            </w:pPr>
          </w:p>
        </w:tc>
      </w:tr>
      <w:tr w:rsidR="00441C18" w14:paraId="17A41850" w14:textId="77777777" w:rsidTr="00B468FF">
        <w:tc>
          <w:tcPr>
            <w:tcW w:w="2835" w:type="dxa"/>
          </w:tcPr>
          <w:p w14:paraId="7D6CB2AC"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2.3. Қоршаған ортаны қорғау (ҚОҚ) саласындағы Стратегияның немесе Саясаттың болуы</w:t>
            </w:r>
          </w:p>
        </w:tc>
        <w:tc>
          <w:tcPr>
            <w:tcW w:w="3899" w:type="dxa"/>
          </w:tcPr>
          <w:p w14:paraId="4E0F6260"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ҚОҚ</w:t>
            </w:r>
            <w:r w:rsidRPr="00755BA5">
              <w:rPr>
                <w:rFonts w:ascii="Times New Roman" w:hAnsi="Times New Roman" w:cs="Times New Roman"/>
                <w:sz w:val="24"/>
                <w:szCs w:val="24"/>
                <w:lang w:val="kk"/>
              </w:rPr>
              <w:t xml:space="preserve"> саласындағы Стратегияның немесе Саясаттың болуы туралы ақпарат. Көрсетілген құжаттың көшірмесін қоса беруіңізді сұраймыз</w:t>
            </w:r>
          </w:p>
        </w:tc>
        <w:tc>
          <w:tcPr>
            <w:tcW w:w="1265" w:type="dxa"/>
          </w:tcPr>
          <w:p w14:paraId="3F3DDA50" w14:textId="77777777" w:rsidR="00DA33E8" w:rsidRPr="00755BA5" w:rsidRDefault="00DA33E8" w:rsidP="00762849">
            <w:pPr>
              <w:contextualSpacing/>
              <w:rPr>
                <w:rFonts w:ascii="Times New Roman" w:hAnsi="Times New Roman" w:cs="Times New Roman"/>
                <w:sz w:val="24"/>
                <w:szCs w:val="24"/>
              </w:rPr>
            </w:pPr>
          </w:p>
        </w:tc>
        <w:tc>
          <w:tcPr>
            <w:tcW w:w="2208" w:type="dxa"/>
          </w:tcPr>
          <w:p w14:paraId="42ECF5F2" w14:textId="77777777" w:rsidR="00DA33E8" w:rsidRPr="00755BA5" w:rsidRDefault="00DA33E8" w:rsidP="00762849">
            <w:pPr>
              <w:contextualSpacing/>
              <w:rPr>
                <w:rFonts w:ascii="Times New Roman" w:hAnsi="Times New Roman" w:cs="Times New Roman"/>
                <w:sz w:val="24"/>
                <w:szCs w:val="24"/>
              </w:rPr>
            </w:pPr>
          </w:p>
        </w:tc>
      </w:tr>
      <w:tr w:rsidR="00441C18" w14:paraId="5CB5AFBA" w14:textId="77777777" w:rsidTr="00B468FF">
        <w:tc>
          <w:tcPr>
            <w:tcW w:w="2835" w:type="dxa"/>
          </w:tcPr>
          <w:p w14:paraId="0D456EE9"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*2.4. Қадағалау органдары тарапынан сот процестерінің, ұйғарымдарының және/немесе айыппұлдардың немесе өзге де санкциялардың, сондай-ақ қоршаған ортаға елеулі залал келтіретін даулы экологиялық жағдайлардың және/немесе апаттардың болуы</w:t>
            </w:r>
          </w:p>
        </w:tc>
        <w:tc>
          <w:tcPr>
            <w:tcW w:w="3899" w:type="dxa"/>
          </w:tcPr>
          <w:p w14:paraId="3BBC9CD0"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Соңғы үш жылдағы ҚОҚ саласындағы қадағалау органдары тарапынан ағымдағы айыппұлдар/сот ұйғарымдары/нормативтен тыс төлемдер / санкциялар бойынша ақпарат, әлеуметтік экологиялық және экономикалық залалы елеулі (қоғамдық резонанс тудырған) апаттар немесе инциденттер бойынша ақпарат, даулы экологиялық жағдайлар туралы ақпарат, оның ішінде компанияның ашық кеңістіктегі ресми комментарийлеріне сілтемелер.</w:t>
            </w:r>
          </w:p>
        </w:tc>
        <w:tc>
          <w:tcPr>
            <w:tcW w:w="1265" w:type="dxa"/>
          </w:tcPr>
          <w:p w14:paraId="4DD8ABEE" w14:textId="77777777" w:rsidR="00DA33E8" w:rsidRPr="00755BA5" w:rsidRDefault="00DA33E8" w:rsidP="00762849">
            <w:pPr>
              <w:contextualSpacing/>
              <w:rPr>
                <w:rFonts w:ascii="Times New Roman" w:hAnsi="Times New Roman" w:cs="Times New Roman"/>
                <w:sz w:val="24"/>
                <w:szCs w:val="24"/>
              </w:rPr>
            </w:pPr>
          </w:p>
        </w:tc>
        <w:tc>
          <w:tcPr>
            <w:tcW w:w="2208" w:type="dxa"/>
          </w:tcPr>
          <w:p w14:paraId="0C48B789" w14:textId="77777777" w:rsidR="00DA33E8" w:rsidRPr="00755BA5" w:rsidRDefault="00DA33E8" w:rsidP="00762849">
            <w:pPr>
              <w:contextualSpacing/>
              <w:rPr>
                <w:rFonts w:ascii="Times New Roman" w:hAnsi="Times New Roman" w:cs="Times New Roman"/>
                <w:sz w:val="24"/>
                <w:szCs w:val="24"/>
              </w:rPr>
            </w:pPr>
          </w:p>
        </w:tc>
      </w:tr>
      <w:tr w:rsidR="00441C18" w14:paraId="147D73D1" w14:textId="77777777" w:rsidTr="00B468FF">
        <w:tc>
          <w:tcPr>
            <w:tcW w:w="2835" w:type="dxa"/>
          </w:tcPr>
          <w:p w14:paraId="41234BCF"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2.5. Шығарындыларды азайту бойынша іс-шаралар жоспары</w:t>
            </w:r>
          </w:p>
          <w:p w14:paraId="02202ADB"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 xml:space="preserve">парниктік газдар – </w:t>
            </w:r>
            <w:r w:rsidRPr="00755BA5">
              <w:rPr>
                <w:rFonts w:ascii="Times New Roman" w:hAnsi="Times New Roman" w:cs="Times New Roman"/>
                <w:sz w:val="24"/>
                <w:szCs w:val="24"/>
                <w:lang w:val="kk"/>
              </w:rPr>
              <w:t>қамту</w:t>
            </w:r>
            <w:r w:rsidRPr="00755BA5">
              <w:rPr>
                <w:rFonts w:ascii="Times New Roman" w:hAnsi="Times New Roman" w:cs="Times New Roman"/>
                <w:sz w:val="24"/>
                <w:szCs w:val="24"/>
                <w:lang w:val="kk"/>
              </w:rPr>
              <w:t xml:space="preserve"> саласы 1, 2, қамту саласы 3 - егер қолданылса.</w:t>
            </w:r>
          </w:p>
        </w:tc>
        <w:tc>
          <w:tcPr>
            <w:tcW w:w="3899" w:type="dxa"/>
          </w:tcPr>
          <w:p w14:paraId="2718C131"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Шығарындыларды азайту бойынша іс-шаралар жоспарының болуы туралы ақпарат</w:t>
            </w:r>
          </w:p>
          <w:p w14:paraId="7BB84007"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парниктік газдар – қамту саласы 1, 2, қамту саласы 3 - егер қолданылса. Сондай-ақ, парниктік газдар шығарындыларының </w:t>
            </w:r>
          </w:p>
          <w:p w14:paraId="667D4B78"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үлес</w:t>
            </w:r>
            <w:r w:rsidRPr="00755BA5">
              <w:rPr>
                <w:rFonts w:ascii="Times New Roman" w:hAnsi="Times New Roman" w:cs="Times New Roman"/>
                <w:sz w:val="24"/>
                <w:szCs w:val="24"/>
                <w:lang w:val="kk"/>
              </w:rPr>
              <w:t xml:space="preserve"> көлемі</w:t>
            </w:r>
          </w:p>
        </w:tc>
        <w:tc>
          <w:tcPr>
            <w:tcW w:w="1265" w:type="dxa"/>
          </w:tcPr>
          <w:p w14:paraId="6FC52F68" w14:textId="77777777" w:rsidR="00DA33E8" w:rsidRPr="00755BA5" w:rsidRDefault="00DA33E8" w:rsidP="00762849">
            <w:pPr>
              <w:contextualSpacing/>
              <w:rPr>
                <w:rFonts w:ascii="Times New Roman" w:hAnsi="Times New Roman" w:cs="Times New Roman"/>
                <w:sz w:val="24"/>
                <w:szCs w:val="24"/>
              </w:rPr>
            </w:pPr>
          </w:p>
        </w:tc>
        <w:tc>
          <w:tcPr>
            <w:tcW w:w="2208" w:type="dxa"/>
          </w:tcPr>
          <w:p w14:paraId="7AB8896F" w14:textId="77777777" w:rsidR="00DA33E8" w:rsidRPr="00755BA5" w:rsidRDefault="00DA33E8" w:rsidP="00762849">
            <w:pPr>
              <w:contextualSpacing/>
              <w:rPr>
                <w:rFonts w:ascii="Times New Roman" w:hAnsi="Times New Roman" w:cs="Times New Roman"/>
                <w:sz w:val="24"/>
                <w:szCs w:val="24"/>
              </w:rPr>
            </w:pPr>
          </w:p>
        </w:tc>
      </w:tr>
      <w:tr w:rsidR="00441C18" w14:paraId="7A61A502" w14:textId="77777777" w:rsidTr="00B468FF">
        <w:trPr>
          <w:tblHeader/>
        </w:trPr>
        <w:tc>
          <w:tcPr>
            <w:tcW w:w="2835" w:type="dxa"/>
            <w:shd w:val="clear" w:color="auto" w:fill="9CC2E5" w:themeFill="accent1" w:themeFillTint="99"/>
          </w:tcPr>
          <w:p w14:paraId="2BD0E295" w14:textId="77777777" w:rsidR="00DA33E8" w:rsidRPr="00755BA5" w:rsidRDefault="00B468FF" w:rsidP="00762849">
            <w:pPr>
              <w:contextualSpacing/>
              <w:rPr>
                <w:rFonts w:ascii="Times New Roman" w:hAnsi="Times New Roman" w:cs="Times New Roman"/>
                <w:b/>
                <w:sz w:val="24"/>
                <w:szCs w:val="24"/>
              </w:rPr>
            </w:pPr>
            <w:r w:rsidRPr="00755BA5">
              <w:rPr>
                <w:rFonts w:ascii="Times New Roman" w:hAnsi="Times New Roman" w:cs="Times New Roman"/>
                <w:b/>
                <w:sz w:val="24"/>
                <w:szCs w:val="24"/>
                <w:lang w:val="kk"/>
              </w:rPr>
              <w:t>S блогының критерийлері / Критерийлер тобы (әлеуметтік саясат)</w:t>
            </w:r>
          </w:p>
        </w:tc>
        <w:tc>
          <w:tcPr>
            <w:tcW w:w="3899" w:type="dxa"/>
            <w:shd w:val="clear" w:color="auto" w:fill="9CC2E5" w:themeFill="accent1" w:themeFillTint="99"/>
          </w:tcPr>
          <w:p w14:paraId="079136D0"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Ақпарат көзі</w:t>
            </w:r>
          </w:p>
        </w:tc>
        <w:tc>
          <w:tcPr>
            <w:tcW w:w="1265" w:type="dxa"/>
            <w:shd w:val="clear" w:color="auto" w:fill="9CC2E5" w:themeFill="accent1" w:themeFillTint="99"/>
          </w:tcPr>
          <w:p w14:paraId="68F08461" w14:textId="77777777" w:rsidR="00DA33E8" w:rsidRPr="00755BA5" w:rsidRDefault="00B468FF" w:rsidP="00762849">
            <w:pPr>
              <w:ind w:left="-127"/>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Критерий бойынша жеңілдік 0,5%</w:t>
            </w:r>
          </w:p>
        </w:tc>
        <w:tc>
          <w:tcPr>
            <w:tcW w:w="2208" w:type="dxa"/>
            <w:shd w:val="clear" w:color="auto" w:fill="9CC2E5" w:themeFill="accent1" w:themeFillTint="99"/>
          </w:tcPr>
          <w:p w14:paraId="6E136DA1" w14:textId="77777777" w:rsidR="00DA33E8" w:rsidRPr="00755BA5" w:rsidRDefault="00B468FF" w:rsidP="00762849">
            <w:pPr>
              <w:ind w:right="-113"/>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Комментарийлер, ескертпелер</w:t>
            </w:r>
          </w:p>
        </w:tc>
      </w:tr>
      <w:tr w:rsidR="00441C18" w14:paraId="2ECEBBF8" w14:textId="77777777" w:rsidTr="00B468FF">
        <w:tc>
          <w:tcPr>
            <w:tcW w:w="10207" w:type="dxa"/>
            <w:gridSpan w:val="4"/>
            <w:shd w:val="clear" w:color="auto" w:fill="DEEAF6" w:themeFill="accent1" w:themeFillTint="33"/>
          </w:tcPr>
          <w:p w14:paraId="0F0430BF" w14:textId="77777777" w:rsidR="00DA33E8" w:rsidRPr="00755BA5" w:rsidRDefault="00B468FF" w:rsidP="00762849">
            <w:pPr>
              <w:tabs>
                <w:tab w:val="left" w:pos="321"/>
              </w:tabs>
              <w:ind w:left="37"/>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Еңбек жағдайлары және өндірістегі қауіпсіздік</w:t>
            </w:r>
          </w:p>
        </w:tc>
      </w:tr>
      <w:tr w:rsidR="00441C18" w14:paraId="14569C36" w14:textId="77777777" w:rsidTr="00B468FF">
        <w:tc>
          <w:tcPr>
            <w:tcW w:w="2835" w:type="dxa"/>
          </w:tcPr>
          <w:p w14:paraId="4C0DF5DB"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*1.1. Жазатайым оқиғалардың болуы</w:t>
            </w:r>
          </w:p>
        </w:tc>
        <w:tc>
          <w:tcPr>
            <w:tcW w:w="3899" w:type="dxa"/>
          </w:tcPr>
          <w:p w14:paraId="4E9DA774"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Жазатайым оқиғалардың жиілік </w:t>
            </w:r>
            <w:r w:rsidRPr="00755BA5">
              <w:rPr>
                <w:rFonts w:ascii="Times New Roman" w:hAnsi="Times New Roman" w:cs="Times New Roman"/>
                <w:sz w:val="24"/>
                <w:szCs w:val="24"/>
                <w:lang w:val="kk"/>
              </w:rPr>
              <w:t>коэффициенті = Жазатайым оқиғалардың саны/есепті кезеңдегі қызметкерлердің орташа тізімдік саны*1000 қызметкер (соңғы бес жылда)</w:t>
            </w:r>
          </w:p>
        </w:tc>
        <w:tc>
          <w:tcPr>
            <w:tcW w:w="1265" w:type="dxa"/>
          </w:tcPr>
          <w:p w14:paraId="112DDF44" w14:textId="77777777" w:rsidR="00DA33E8" w:rsidRPr="00755BA5" w:rsidRDefault="00DA33E8" w:rsidP="00762849">
            <w:pPr>
              <w:contextualSpacing/>
              <w:rPr>
                <w:rFonts w:ascii="Times New Roman" w:hAnsi="Times New Roman" w:cs="Times New Roman"/>
                <w:sz w:val="24"/>
                <w:szCs w:val="24"/>
              </w:rPr>
            </w:pPr>
          </w:p>
        </w:tc>
        <w:tc>
          <w:tcPr>
            <w:tcW w:w="2208" w:type="dxa"/>
          </w:tcPr>
          <w:p w14:paraId="27DAEA2E" w14:textId="77777777" w:rsidR="00DA33E8" w:rsidRPr="00755BA5" w:rsidRDefault="00DA33E8" w:rsidP="00762849">
            <w:pPr>
              <w:contextualSpacing/>
              <w:rPr>
                <w:rFonts w:ascii="Times New Roman" w:hAnsi="Times New Roman" w:cs="Times New Roman"/>
                <w:sz w:val="24"/>
                <w:szCs w:val="24"/>
              </w:rPr>
            </w:pPr>
          </w:p>
        </w:tc>
      </w:tr>
      <w:tr w:rsidR="00441C18" w14:paraId="6A2D01EA" w14:textId="77777777" w:rsidTr="00B468FF">
        <w:tc>
          <w:tcPr>
            <w:tcW w:w="2835" w:type="dxa"/>
          </w:tcPr>
          <w:p w14:paraId="59B3919E"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lastRenderedPageBreak/>
              <w:t>*1.2. Еңбекке қабілеттілігінен уақытша айырылған жарақаттардың болуы</w:t>
            </w:r>
          </w:p>
        </w:tc>
        <w:tc>
          <w:tcPr>
            <w:tcW w:w="3899" w:type="dxa"/>
          </w:tcPr>
          <w:p w14:paraId="58E6379C"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Уақытша еңбекке жарамсыздығы бар жарақаттар </w:t>
            </w:r>
            <w:r w:rsidRPr="00755BA5">
              <w:rPr>
                <w:rFonts w:ascii="Times New Roman" w:hAnsi="Times New Roman" w:cs="Times New Roman"/>
                <w:sz w:val="24"/>
                <w:szCs w:val="24"/>
                <w:lang w:val="kk"/>
              </w:rPr>
              <w:t>жиілігінің коэффициенті = уақытша еңбекке жарамсыздығы бар жарақаттар саны/жұмыс істеген адам-сағаттар саны*1 млн адам-сағат (соңғы бес жылда)</w:t>
            </w:r>
          </w:p>
        </w:tc>
        <w:tc>
          <w:tcPr>
            <w:tcW w:w="1265" w:type="dxa"/>
          </w:tcPr>
          <w:p w14:paraId="12F03404" w14:textId="77777777" w:rsidR="00DA33E8" w:rsidRPr="00755BA5" w:rsidRDefault="00DA33E8" w:rsidP="00762849">
            <w:pPr>
              <w:contextualSpacing/>
              <w:rPr>
                <w:rFonts w:ascii="Times New Roman" w:hAnsi="Times New Roman" w:cs="Times New Roman"/>
                <w:sz w:val="24"/>
                <w:szCs w:val="24"/>
              </w:rPr>
            </w:pPr>
          </w:p>
        </w:tc>
        <w:tc>
          <w:tcPr>
            <w:tcW w:w="2208" w:type="dxa"/>
          </w:tcPr>
          <w:p w14:paraId="240836DA" w14:textId="77777777" w:rsidR="00DA33E8" w:rsidRPr="00755BA5" w:rsidRDefault="00DA33E8" w:rsidP="00762849">
            <w:pPr>
              <w:contextualSpacing/>
              <w:rPr>
                <w:rFonts w:ascii="Times New Roman" w:hAnsi="Times New Roman" w:cs="Times New Roman"/>
                <w:sz w:val="24"/>
                <w:szCs w:val="24"/>
              </w:rPr>
            </w:pPr>
          </w:p>
        </w:tc>
      </w:tr>
      <w:tr w:rsidR="00441C18" w14:paraId="7146E044" w14:textId="77777777" w:rsidTr="00B468FF">
        <w:tc>
          <w:tcPr>
            <w:tcW w:w="10207" w:type="dxa"/>
            <w:gridSpan w:val="4"/>
            <w:shd w:val="clear" w:color="auto" w:fill="DEEAF6" w:themeFill="accent1" w:themeFillTint="33"/>
          </w:tcPr>
          <w:p w14:paraId="5BAF5B1A"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2.Кадрлар</w:t>
            </w:r>
          </w:p>
        </w:tc>
      </w:tr>
      <w:tr w:rsidR="00441C18" w14:paraId="607BE489" w14:textId="77777777" w:rsidTr="00B468FF">
        <w:tc>
          <w:tcPr>
            <w:tcW w:w="2835" w:type="dxa"/>
          </w:tcPr>
          <w:p w14:paraId="47167927"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2.1. Персоналды дамыту/қызметкерлерді оқыту бағдарламаларының болуы</w:t>
            </w:r>
          </w:p>
        </w:tc>
        <w:tc>
          <w:tcPr>
            <w:tcW w:w="3899" w:type="dxa"/>
          </w:tcPr>
          <w:p w14:paraId="4432AF19"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Қызметкерлерге</w:t>
            </w:r>
            <w:r w:rsidRPr="00755BA5">
              <w:rPr>
                <w:rFonts w:ascii="Times New Roman" w:hAnsi="Times New Roman" w:cs="Times New Roman"/>
                <w:sz w:val="24"/>
                <w:szCs w:val="24"/>
                <w:lang w:val="kk"/>
              </w:rPr>
              <w:t xml:space="preserve"> арналған </w:t>
            </w:r>
            <w:r w:rsidRPr="00755BA5">
              <w:rPr>
                <w:rFonts w:ascii="Times New Roman" w:hAnsi="Times New Roman" w:cs="Times New Roman"/>
                <w:sz w:val="24"/>
                <w:szCs w:val="24"/>
                <w:lang w:val="kk"/>
              </w:rPr>
              <w:t>оқыту/біліктілікті арттыру/қосымша білім беру бағдарламаларының болуы туралы ақпарат</w:t>
            </w:r>
          </w:p>
        </w:tc>
        <w:tc>
          <w:tcPr>
            <w:tcW w:w="1265" w:type="dxa"/>
          </w:tcPr>
          <w:p w14:paraId="67743B6E" w14:textId="77777777" w:rsidR="00DA33E8" w:rsidRPr="00755BA5" w:rsidRDefault="00DA33E8" w:rsidP="00762849">
            <w:pPr>
              <w:contextualSpacing/>
              <w:jc w:val="both"/>
              <w:rPr>
                <w:rFonts w:ascii="Times New Roman" w:hAnsi="Times New Roman" w:cs="Times New Roman"/>
                <w:sz w:val="24"/>
                <w:szCs w:val="24"/>
              </w:rPr>
            </w:pPr>
          </w:p>
        </w:tc>
        <w:tc>
          <w:tcPr>
            <w:tcW w:w="2208" w:type="dxa"/>
          </w:tcPr>
          <w:p w14:paraId="7118D3A2" w14:textId="77777777" w:rsidR="00DA33E8" w:rsidRPr="00755BA5" w:rsidRDefault="00DA33E8" w:rsidP="00762849">
            <w:pPr>
              <w:contextualSpacing/>
              <w:jc w:val="both"/>
              <w:rPr>
                <w:rFonts w:ascii="Times New Roman" w:hAnsi="Times New Roman" w:cs="Times New Roman"/>
                <w:sz w:val="24"/>
                <w:szCs w:val="24"/>
              </w:rPr>
            </w:pPr>
          </w:p>
        </w:tc>
      </w:tr>
      <w:tr w:rsidR="00441C18" w14:paraId="23B26EDA" w14:textId="77777777" w:rsidTr="00B468FF">
        <w:tc>
          <w:tcPr>
            <w:tcW w:w="2835" w:type="dxa"/>
          </w:tcPr>
          <w:p w14:paraId="0BFB5130" w14:textId="77777777" w:rsidR="00DA33E8" w:rsidRPr="00755BA5" w:rsidRDefault="00B468FF" w:rsidP="00762849">
            <w:pPr>
              <w:ind w:left="37"/>
              <w:contextualSpacing/>
              <w:rPr>
                <w:rFonts w:ascii="Times New Roman" w:hAnsi="Times New Roman" w:cs="Times New Roman"/>
                <w:sz w:val="24"/>
                <w:szCs w:val="24"/>
              </w:rPr>
            </w:pPr>
            <w:r w:rsidRPr="00755BA5">
              <w:rPr>
                <w:rFonts w:ascii="Times New Roman" w:hAnsi="Times New Roman" w:cs="Times New Roman"/>
                <w:sz w:val="24"/>
                <w:szCs w:val="24"/>
                <w:lang w:val="kk"/>
              </w:rPr>
              <w:t>2.2. Кадрлар тұрақсыздығының коэффициенті жылына 10%-дан кем</w:t>
            </w:r>
          </w:p>
        </w:tc>
        <w:tc>
          <w:tcPr>
            <w:tcW w:w="3899" w:type="dxa"/>
          </w:tcPr>
          <w:p w14:paraId="436643C0"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Соңғы 3 жылдағы кадрлар тұрақсыздығының орташа коэффициенті</w:t>
            </w:r>
          </w:p>
        </w:tc>
        <w:tc>
          <w:tcPr>
            <w:tcW w:w="1265" w:type="dxa"/>
          </w:tcPr>
          <w:p w14:paraId="4542081F" w14:textId="77777777" w:rsidR="00DA33E8" w:rsidRPr="00755BA5" w:rsidRDefault="00DA33E8" w:rsidP="00762849">
            <w:pPr>
              <w:contextualSpacing/>
              <w:rPr>
                <w:rFonts w:ascii="Times New Roman" w:hAnsi="Times New Roman" w:cs="Times New Roman"/>
                <w:sz w:val="24"/>
                <w:szCs w:val="24"/>
              </w:rPr>
            </w:pPr>
          </w:p>
        </w:tc>
        <w:tc>
          <w:tcPr>
            <w:tcW w:w="2208" w:type="dxa"/>
          </w:tcPr>
          <w:p w14:paraId="113E7245" w14:textId="77777777" w:rsidR="00DA33E8" w:rsidRPr="00755BA5" w:rsidRDefault="00DA33E8" w:rsidP="00762849">
            <w:pPr>
              <w:contextualSpacing/>
              <w:rPr>
                <w:rFonts w:ascii="Times New Roman" w:hAnsi="Times New Roman" w:cs="Times New Roman"/>
                <w:sz w:val="24"/>
                <w:szCs w:val="24"/>
              </w:rPr>
            </w:pPr>
          </w:p>
        </w:tc>
      </w:tr>
      <w:tr w:rsidR="00441C18" w14:paraId="0ACA3D53" w14:textId="77777777" w:rsidTr="00B468FF">
        <w:tc>
          <w:tcPr>
            <w:tcW w:w="10207" w:type="dxa"/>
            <w:gridSpan w:val="4"/>
            <w:shd w:val="clear" w:color="auto" w:fill="DEEAF6" w:themeFill="accent1" w:themeFillTint="33"/>
          </w:tcPr>
          <w:p w14:paraId="0F535400"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3. Әлеуметтік қолдау</w:t>
            </w:r>
          </w:p>
        </w:tc>
      </w:tr>
      <w:tr w:rsidR="00441C18" w14:paraId="19690B79" w14:textId="77777777" w:rsidTr="00B468FF">
        <w:tc>
          <w:tcPr>
            <w:tcW w:w="2835" w:type="dxa"/>
          </w:tcPr>
          <w:p w14:paraId="0B9F4AE9"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 xml:space="preserve">3.1. Ерікті </w:t>
            </w:r>
            <w:r w:rsidRPr="00755BA5">
              <w:rPr>
                <w:rFonts w:ascii="Times New Roman" w:hAnsi="Times New Roman" w:cs="Times New Roman"/>
                <w:sz w:val="24"/>
                <w:szCs w:val="24"/>
                <w:lang w:val="kk"/>
              </w:rPr>
              <w:t>медициналық сақтандыру бағдарламасының және қызметкерлерге медициналық қызмет көрсетудің басқа да нысандарының болуы</w:t>
            </w:r>
          </w:p>
        </w:tc>
        <w:tc>
          <w:tcPr>
            <w:tcW w:w="3899" w:type="dxa"/>
            <w:shd w:val="clear" w:color="auto" w:fill="FFFFFF" w:themeFill="background1"/>
          </w:tcPr>
          <w:p w14:paraId="79097122"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Қызметкерлерге</w:t>
            </w:r>
            <w:r w:rsidRPr="00755BA5">
              <w:rPr>
                <w:rFonts w:ascii="Times New Roman" w:hAnsi="Times New Roman" w:cs="Times New Roman"/>
                <w:sz w:val="24"/>
                <w:szCs w:val="24"/>
                <w:lang w:val="kk"/>
              </w:rPr>
              <w:t xml:space="preserve"> арналған ерікті медициналық сақтандыру бағдарламасының болуы туралы ақпарат, сондай-ақ егер қызметкерлердің отбасы мүшелеріне жеңілдікті шарттармен ерікті медициналық сақтандыру мүмкіндігі болса – соңғы үш жылдағы ақпаратты ұсыну</w:t>
            </w:r>
          </w:p>
        </w:tc>
        <w:tc>
          <w:tcPr>
            <w:tcW w:w="1265" w:type="dxa"/>
            <w:shd w:val="clear" w:color="auto" w:fill="FFFFFF" w:themeFill="background1"/>
          </w:tcPr>
          <w:p w14:paraId="7A4610CC" w14:textId="77777777" w:rsidR="00DA33E8" w:rsidRPr="00755BA5" w:rsidRDefault="00DA33E8" w:rsidP="00762849">
            <w:pPr>
              <w:contextualSpacing/>
              <w:jc w:val="both"/>
              <w:rPr>
                <w:rFonts w:ascii="Times New Roman" w:hAnsi="Times New Roman" w:cs="Times New Roman"/>
                <w:sz w:val="24"/>
                <w:szCs w:val="24"/>
              </w:rPr>
            </w:pPr>
          </w:p>
        </w:tc>
        <w:tc>
          <w:tcPr>
            <w:tcW w:w="2208" w:type="dxa"/>
            <w:shd w:val="clear" w:color="auto" w:fill="FFFFFF" w:themeFill="background1"/>
          </w:tcPr>
          <w:p w14:paraId="6CFF4E3A" w14:textId="77777777" w:rsidR="00DA33E8" w:rsidRPr="00755BA5" w:rsidRDefault="00DA33E8" w:rsidP="00762849">
            <w:pPr>
              <w:contextualSpacing/>
              <w:jc w:val="both"/>
              <w:rPr>
                <w:rFonts w:ascii="Times New Roman" w:hAnsi="Times New Roman" w:cs="Times New Roman"/>
                <w:sz w:val="24"/>
                <w:szCs w:val="24"/>
              </w:rPr>
            </w:pPr>
          </w:p>
        </w:tc>
      </w:tr>
      <w:tr w:rsidR="00441C18" w14:paraId="760F66B8" w14:textId="77777777" w:rsidTr="00B468FF">
        <w:tc>
          <w:tcPr>
            <w:tcW w:w="2835" w:type="dxa"/>
          </w:tcPr>
          <w:p w14:paraId="6DE9D2EF"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3.2. Қызметкерлерге/қызметкерлердің отбасы мүшелеріне материалдық көмек бағдарламаларының болуы</w:t>
            </w:r>
          </w:p>
        </w:tc>
        <w:tc>
          <w:tcPr>
            <w:tcW w:w="3899" w:type="dxa"/>
          </w:tcPr>
          <w:p w14:paraId="3E4DFA95" w14:textId="77777777" w:rsidR="00DA33E8" w:rsidRPr="00755BA5" w:rsidRDefault="00B468FF" w:rsidP="00762849">
            <w:pPr>
              <w:contextualSpacing/>
              <w:jc w:val="both"/>
              <w:rPr>
                <w:rFonts w:ascii="Times New Roman" w:hAnsi="Times New Roman" w:cs="Times New Roman"/>
                <w:sz w:val="24"/>
                <w:szCs w:val="24"/>
              </w:rPr>
            </w:pPr>
            <w:r w:rsidRPr="00755BA5">
              <w:rPr>
                <w:rFonts w:ascii="Times New Roman" w:hAnsi="Times New Roman" w:cs="Times New Roman"/>
                <w:sz w:val="24"/>
                <w:szCs w:val="24"/>
                <w:lang w:val="kk"/>
              </w:rPr>
              <w:t>Қызметкерлерге</w:t>
            </w:r>
            <w:r w:rsidRPr="00755BA5">
              <w:rPr>
                <w:rFonts w:ascii="Times New Roman" w:hAnsi="Times New Roman" w:cs="Times New Roman"/>
                <w:sz w:val="24"/>
                <w:szCs w:val="24"/>
                <w:lang w:val="kk"/>
              </w:rPr>
              <w:t>/қызметкерлердің отбасыларына (жұмыс істейтін әйелдерге және отбасылық міндеттері бар басқа тұлғаларға, жас қызметкерлерге және әлеуметтік төлемдерді қажет ететін қызметкерлердің басқа да санаттарына) арналған материалдық көмек бағдарламасының болуы туралы ақпарат</w:t>
            </w:r>
          </w:p>
        </w:tc>
        <w:tc>
          <w:tcPr>
            <w:tcW w:w="1265" w:type="dxa"/>
          </w:tcPr>
          <w:p w14:paraId="5093055D" w14:textId="77777777" w:rsidR="00DA33E8" w:rsidRPr="00755BA5" w:rsidRDefault="00DA33E8" w:rsidP="00762849">
            <w:pPr>
              <w:contextualSpacing/>
              <w:jc w:val="both"/>
              <w:rPr>
                <w:rFonts w:ascii="Times New Roman" w:hAnsi="Times New Roman" w:cs="Times New Roman"/>
                <w:sz w:val="24"/>
                <w:szCs w:val="24"/>
              </w:rPr>
            </w:pPr>
          </w:p>
        </w:tc>
        <w:tc>
          <w:tcPr>
            <w:tcW w:w="2208" w:type="dxa"/>
          </w:tcPr>
          <w:p w14:paraId="33419575" w14:textId="77777777" w:rsidR="00DA33E8" w:rsidRPr="00755BA5" w:rsidRDefault="00DA33E8" w:rsidP="00762849">
            <w:pPr>
              <w:contextualSpacing/>
              <w:jc w:val="both"/>
              <w:rPr>
                <w:rFonts w:ascii="Times New Roman" w:hAnsi="Times New Roman" w:cs="Times New Roman"/>
                <w:sz w:val="24"/>
                <w:szCs w:val="24"/>
              </w:rPr>
            </w:pPr>
          </w:p>
        </w:tc>
      </w:tr>
      <w:tr w:rsidR="00441C18" w14:paraId="23655737" w14:textId="77777777" w:rsidTr="00B468FF">
        <w:tc>
          <w:tcPr>
            <w:tcW w:w="2835" w:type="dxa"/>
          </w:tcPr>
          <w:p w14:paraId="47E48A0B"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 xml:space="preserve">3.3. Тұрғын үймен </w:t>
            </w:r>
            <w:r w:rsidRPr="00755BA5">
              <w:rPr>
                <w:rFonts w:ascii="Times New Roman" w:hAnsi="Times New Roman" w:cs="Times New Roman"/>
                <w:sz w:val="24"/>
                <w:szCs w:val="24"/>
                <w:lang w:val="kk"/>
              </w:rPr>
              <w:t>қамтамасыз</w:t>
            </w:r>
            <w:r w:rsidRPr="00755BA5">
              <w:rPr>
                <w:rFonts w:ascii="Times New Roman" w:hAnsi="Times New Roman" w:cs="Times New Roman"/>
                <w:sz w:val="24"/>
                <w:szCs w:val="24"/>
                <w:lang w:val="kk"/>
              </w:rPr>
              <w:t xml:space="preserve"> етудің корпоративтік бағдарламасының болуы</w:t>
            </w:r>
          </w:p>
        </w:tc>
        <w:tc>
          <w:tcPr>
            <w:tcW w:w="3899" w:type="dxa"/>
          </w:tcPr>
          <w:p w14:paraId="2590A2BC"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Корпоративтік тұрғын үй бағдарламасының немесе қызметкерлердің ипотекалық жарналарына төлемдер/жеңілдіктердің болуы туралы ақпарат</w:t>
            </w:r>
          </w:p>
        </w:tc>
        <w:tc>
          <w:tcPr>
            <w:tcW w:w="1265" w:type="dxa"/>
          </w:tcPr>
          <w:p w14:paraId="38BFDEDD" w14:textId="77777777" w:rsidR="00DA33E8" w:rsidRPr="00755BA5" w:rsidRDefault="00DA33E8" w:rsidP="00762849">
            <w:pPr>
              <w:contextualSpacing/>
              <w:rPr>
                <w:rFonts w:ascii="Times New Roman" w:hAnsi="Times New Roman" w:cs="Times New Roman"/>
                <w:sz w:val="24"/>
                <w:szCs w:val="24"/>
              </w:rPr>
            </w:pPr>
          </w:p>
        </w:tc>
        <w:tc>
          <w:tcPr>
            <w:tcW w:w="2208" w:type="dxa"/>
          </w:tcPr>
          <w:p w14:paraId="33D59296" w14:textId="77777777" w:rsidR="00DA33E8" w:rsidRPr="00755BA5" w:rsidRDefault="00DA33E8" w:rsidP="00762849">
            <w:pPr>
              <w:contextualSpacing/>
              <w:rPr>
                <w:rFonts w:ascii="Times New Roman" w:hAnsi="Times New Roman" w:cs="Times New Roman"/>
                <w:sz w:val="24"/>
                <w:szCs w:val="24"/>
              </w:rPr>
            </w:pPr>
          </w:p>
        </w:tc>
      </w:tr>
      <w:tr w:rsidR="00441C18" w14:paraId="155A1301" w14:textId="77777777" w:rsidTr="00B468FF">
        <w:tc>
          <w:tcPr>
            <w:tcW w:w="10207" w:type="dxa"/>
            <w:gridSpan w:val="4"/>
            <w:shd w:val="clear" w:color="auto" w:fill="DEEAF6" w:themeFill="accent1" w:themeFillTint="33"/>
          </w:tcPr>
          <w:p w14:paraId="01CFA0D7"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lastRenderedPageBreak/>
              <w:t>4. Адам құқықтары және кемсітушілік</w:t>
            </w:r>
          </w:p>
        </w:tc>
      </w:tr>
      <w:tr w:rsidR="00441C18" w14:paraId="6A902801" w14:textId="77777777" w:rsidTr="00B468FF">
        <w:tc>
          <w:tcPr>
            <w:tcW w:w="2835" w:type="dxa"/>
          </w:tcPr>
          <w:p w14:paraId="3B97B800"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4.1. Адам құқықтарын бұзу, сыбайлас жемқорлық және еңбек кодексін бұзу мәселелері бойынша сенім телефоны және/немесе қызметкерлер үшін кері байланыс механизмінің болуы</w:t>
            </w:r>
          </w:p>
        </w:tc>
        <w:tc>
          <w:tcPr>
            <w:tcW w:w="3899" w:type="dxa"/>
          </w:tcPr>
          <w:p w14:paraId="467AB00A"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Компания қызметкерлері үшін кері байланыс, сыбайлас жемқорлық, адам құқықтарының бұзылуы және кемсітушілік мәселелері бойынша шағымдар үшін сенім телефоны/анонимді арнаның болуы туралы ақпарат</w:t>
            </w:r>
          </w:p>
        </w:tc>
        <w:tc>
          <w:tcPr>
            <w:tcW w:w="1265" w:type="dxa"/>
          </w:tcPr>
          <w:p w14:paraId="6BC059E1" w14:textId="77777777" w:rsidR="00DA33E8" w:rsidRPr="00755BA5" w:rsidRDefault="00DA33E8" w:rsidP="00762849">
            <w:pPr>
              <w:contextualSpacing/>
              <w:rPr>
                <w:rFonts w:ascii="Times New Roman" w:hAnsi="Times New Roman" w:cs="Times New Roman"/>
                <w:sz w:val="24"/>
                <w:szCs w:val="24"/>
              </w:rPr>
            </w:pPr>
          </w:p>
        </w:tc>
        <w:tc>
          <w:tcPr>
            <w:tcW w:w="2208" w:type="dxa"/>
          </w:tcPr>
          <w:p w14:paraId="4D44FC4E" w14:textId="77777777" w:rsidR="00DA33E8" w:rsidRPr="00755BA5" w:rsidRDefault="00DA33E8" w:rsidP="00762849">
            <w:pPr>
              <w:contextualSpacing/>
              <w:rPr>
                <w:rFonts w:ascii="Times New Roman" w:hAnsi="Times New Roman" w:cs="Times New Roman"/>
                <w:sz w:val="24"/>
                <w:szCs w:val="24"/>
              </w:rPr>
            </w:pPr>
          </w:p>
        </w:tc>
      </w:tr>
      <w:tr w:rsidR="00441C18" w14:paraId="23B1BC7A" w14:textId="77777777" w:rsidTr="00B468FF">
        <w:tc>
          <w:tcPr>
            <w:tcW w:w="2835" w:type="dxa"/>
          </w:tcPr>
          <w:p w14:paraId="375BAF3E"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4.2. Штатта мүгедектерді жұмысқа орналастыру бағдарламасының және мүгедектер туралы ақпараттың болуы</w:t>
            </w:r>
          </w:p>
        </w:tc>
        <w:tc>
          <w:tcPr>
            <w:tcW w:w="3899" w:type="dxa"/>
          </w:tcPr>
          <w:p w14:paraId="535EA12F"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Компанияның мүгедектігі бар қызметкерлерді жұмысқа орналастыруға қатысты саясаты туралы ақпарат </w:t>
            </w:r>
          </w:p>
        </w:tc>
        <w:tc>
          <w:tcPr>
            <w:tcW w:w="1265" w:type="dxa"/>
          </w:tcPr>
          <w:p w14:paraId="705A62BC" w14:textId="77777777" w:rsidR="00DA33E8" w:rsidRPr="00755BA5" w:rsidRDefault="00DA33E8" w:rsidP="00762849">
            <w:pPr>
              <w:contextualSpacing/>
              <w:rPr>
                <w:rFonts w:ascii="Times New Roman" w:hAnsi="Times New Roman" w:cs="Times New Roman"/>
                <w:sz w:val="24"/>
                <w:szCs w:val="24"/>
              </w:rPr>
            </w:pPr>
          </w:p>
        </w:tc>
        <w:tc>
          <w:tcPr>
            <w:tcW w:w="2208" w:type="dxa"/>
          </w:tcPr>
          <w:p w14:paraId="568ABE42" w14:textId="77777777" w:rsidR="00DA33E8" w:rsidRPr="00755BA5" w:rsidRDefault="00DA33E8" w:rsidP="00762849">
            <w:pPr>
              <w:contextualSpacing/>
              <w:rPr>
                <w:rFonts w:ascii="Times New Roman" w:hAnsi="Times New Roman" w:cs="Times New Roman"/>
                <w:sz w:val="24"/>
                <w:szCs w:val="24"/>
              </w:rPr>
            </w:pPr>
          </w:p>
        </w:tc>
      </w:tr>
      <w:tr w:rsidR="00441C18" w14:paraId="54EA868D" w14:textId="77777777" w:rsidTr="00B468FF">
        <w:tc>
          <w:tcPr>
            <w:tcW w:w="2835" w:type="dxa"/>
          </w:tcPr>
          <w:p w14:paraId="74984745"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4.3. Жоғары буын басшылары арасындағы әйелдердің кемінде 30%-ы</w:t>
            </w:r>
          </w:p>
        </w:tc>
        <w:tc>
          <w:tcPr>
            <w:tcW w:w="3899" w:type="dxa"/>
          </w:tcPr>
          <w:p w14:paraId="10F30FB1"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Соңғы үш жылдағы штат саны</w:t>
            </w:r>
          </w:p>
        </w:tc>
        <w:tc>
          <w:tcPr>
            <w:tcW w:w="1265" w:type="dxa"/>
          </w:tcPr>
          <w:p w14:paraId="57ADA2E3" w14:textId="77777777" w:rsidR="00DA33E8" w:rsidRPr="00755BA5" w:rsidRDefault="00DA33E8" w:rsidP="00762849">
            <w:pPr>
              <w:contextualSpacing/>
              <w:rPr>
                <w:rFonts w:ascii="Times New Roman" w:hAnsi="Times New Roman" w:cs="Times New Roman"/>
                <w:sz w:val="24"/>
                <w:szCs w:val="24"/>
              </w:rPr>
            </w:pPr>
          </w:p>
        </w:tc>
        <w:tc>
          <w:tcPr>
            <w:tcW w:w="2208" w:type="dxa"/>
          </w:tcPr>
          <w:p w14:paraId="3B4EB109" w14:textId="77777777" w:rsidR="00DA33E8" w:rsidRPr="00755BA5" w:rsidRDefault="00DA33E8" w:rsidP="00762849">
            <w:pPr>
              <w:contextualSpacing/>
              <w:rPr>
                <w:rFonts w:ascii="Times New Roman" w:hAnsi="Times New Roman" w:cs="Times New Roman"/>
                <w:sz w:val="24"/>
                <w:szCs w:val="24"/>
              </w:rPr>
            </w:pPr>
          </w:p>
        </w:tc>
      </w:tr>
      <w:tr w:rsidR="00441C18" w14:paraId="4F136174" w14:textId="77777777" w:rsidTr="00B468FF">
        <w:tc>
          <w:tcPr>
            <w:tcW w:w="10207" w:type="dxa"/>
            <w:gridSpan w:val="4"/>
            <w:shd w:val="clear" w:color="auto" w:fill="DEEAF6" w:themeFill="accent1" w:themeFillTint="33"/>
          </w:tcPr>
          <w:p w14:paraId="4438B8B9"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5. Жергілікті қауымдастықтармен өзара іс-қимыл</w:t>
            </w:r>
          </w:p>
        </w:tc>
      </w:tr>
      <w:tr w:rsidR="00441C18" w14:paraId="6FF96B16" w14:textId="77777777" w:rsidTr="00B468FF">
        <w:tc>
          <w:tcPr>
            <w:tcW w:w="2835" w:type="dxa"/>
          </w:tcPr>
          <w:p w14:paraId="358E8D96"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5.1.Қайырымдылық бағдарламасының болуы</w:t>
            </w:r>
          </w:p>
        </w:tc>
        <w:tc>
          <w:tcPr>
            <w:tcW w:w="3899" w:type="dxa"/>
          </w:tcPr>
          <w:p w14:paraId="38DA834B"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Қайырымдылық</w:t>
            </w:r>
            <w:r w:rsidRPr="00755BA5">
              <w:rPr>
                <w:rFonts w:ascii="Times New Roman" w:hAnsi="Times New Roman" w:cs="Times New Roman"/>
                <w:sz w:val="24"/>
                <w:szCs w:val="24"/>
                <w:lang w:val="kk"/>
              </w:rPr>
              <w:t xml:space="preserve"> қызметі және еріктілер қозғалысы туралы ақпарат</w:t>
            </w:r>
          </w:p>
        </w:tc>
        <w:tc>
          <w:tcPr>
            <w:tcW w:w="1265" w:type="dxa"/>
          </w:tcPr>
          <w:p w14:paraId="31EB98E2" w14:textId="77777777" w:rsidR="00DA33E8" w:rsidRPr="00755BA5" w:rsidRDefault="00DA33E8" w:rsidP="00762849">
            <w:pPr>
              <w:contextualSpacing/>
              <w:rPr>
                <w:rFonts w:ascii="Times New Roman" w:hAnsi="Times New Roman" w:cs="Times New Roman"/>
                <w:sz w:val="24"/>
                <w:szCs w:val="24"/>
              </w:rPr>
            </w:pPr>
          </w:p>
        </w:tc>
        <w:tc>
          <w:tcPr>
            <w:tcW w:w="2208" w:type="dxa"/>
          </w:tcPr>
          <w:p w14:paraId="3654D844" w14:textId="77777777" w:rsidR="00DA33E8" w:rsidRPr="00755BA5" w:rsidRDefault="00DA33E8" w:rsidP="00762849">
            <w:pPr>
              <w:contextualSpacing/>
              <w:rPr>
                <w:rFonts w:ascii="Times New Roman" w:hAnsi="Times New Roman" w:cs="Times New Roman"/>
                <w:sz w:val="24"/>
                <w:szCs w:val="24"/>
              </w:rPr>
            </w:pPr>
          </w:p>
        </w:tc>
      </w:tr>
      <w:tr w:rsidR="00441C18" w14:paraId="46F6662D" w14:textId="77777777" w:rsidTr="00B468FF">
        <w:tc>
          <w:tcPr>
            <w:tcW w:w="2835" w:type="dxa"/>
          </w:tcPr>
          <w:p w14:paraId="4E8E28A5" w14:textId="77777777" w:rsidR="00DA33E8" w:rsidRPr="00755BA5" w:rsidRDefault="00B468FF" w:rsidP="00762849">
            <w:pPr>
              <w:jc w:val="both"/>
              <w:rPr>
                <w:rFonts w:ascii="Times New Roman" w:hAnsi="Times New Roman" w:cs="Times New Roman"/>
                <w:sz w:val="24"/>
                <w:szCs w:val="24"/>
              </w:rPr>
            </w:pPr>
            <w:r w:rsidRPr="00755BA5">
              <w:rPr>
                <w:rFonts w:ascii="Times New Roman" w:hAnsi="Times New Roman" w:cs="Times New Roman"/>
                <w:sz w:val="24"/>
                <w:szCs w:val="24"/>
                <w:lang w:val="kk"/>
              </w:rPr>
              <w:t>5.2. Әлеуметтік инвестициялар және қатысу аймағын дамыту</w:t>
            </w:r>
          </w:p>
        </w:tc>
        <w:tc>
          <w:tcPr>
            <w:tcW w:w="3899" w:type="dxa"/>
          </w:tcPr>
          <w:p w14:paraId="3EBA334F"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t xml:space="preserve">Соңғы үш жылдағы қатысу өңірлерін әлеуметтік-экономикалық дамытуға бағытталған жобалар </w:t>
            </w:r>
            <w:r w:rsidRPr="00755BA5">
              <w:rPr>
                <w:rFonts w:ascii="Times New Roman" w:hAnsi="Times New Roman" w:cs="Times New Roman"/>
                <w:sz w:val="24"/>
                <w:szCs w:val="24"/>
                <w:lang w:val="kk"/>
              </w:rPr>
              <w:t>туралы ақпарат</w:t>
            </w:r>
          </w:p>
        </w:tc>
        <w:tc>
          <w:tcPr>
            <w:tcW w:w="1265" w:type="dxa"/>
          </w:tcPr>
          <w:p w14:paraId="084F30B9" w14:textId="77777777" w:rsidR="00DA33E8" w:rsidRPr="00755BA5" w:rsidRDefault="00DA33E8" w:rsidP="00762849">
            <w:pPr>
              <w:contextualSpacing/>
              <w:rPr>
                <w:rFonts w:ascii="Times New Roman" w:hAnsi="Times New Roman" w:cs="Times New Roman"/>
                <w:sz w:val="24"/>
                <w:szCs w:val="24"/>
              </w:rPr>
            </w:pPr>
          </w:p>
        </w:tc>
        <w:tc>
          <w:tcPr>
            <w:tcW w:w="2208" w:type="dxa"/>
          </w:tcPr>
          <w:p w14:paraId="610CE692" w14:textId="77777777" w:rsidR="00DA33E8" w:rsidRPr="00755BA5" w:rsidRDefault="00DA33E8" w:rsidP="00762849">
            <w:pPr>
              <w:contextualSpacing/>
              <w:rPr>
                <w:rFonts w:ascii="Times New Roman" w:hAnsi="Times New Roman" w:cs="Times New Roman"/>
                <w:sz w:val="24"/>
                <w:szCs w:val="24"/>
              </w:rPr>
            </w:pPr>
          </w:p>
        </w:tc>
      </w:tr>
    </w:tbl>
    <w:p w14:paraId="75BA9ED7" w14:textId="77777777" w:rsidR="00DA33E8" w:rsidRPr="00755BA5" w:rsidRDefault="00DA33E8" w:rsidP="00DA33E8">
      <w:pPr>
        <w:spacing w:after="0" w:line="240" w:lineRule="auto"/>
      </w:pPr>
    </w:p>
    <w:tbl>
      <w:tblPr>
        <w:tblStyle w:val="47"/>
        <w:tblW w:w="10207" w:type="dxa"/>
        <w:tblInd w:w="-431" w:type="dxa"/>
        <w:tblLayout w:type="fixed"/>
        <w:tblLook w:val="04A0" w:firstRow="1" w:lastRow="0" w:firstColumn="1" w:lastColumn="0" w:noHBand="0" w:noVBand="1"/>
      </w:tblPr>
      <w:tblGrid>
        <w:gridCol w:w="2835"/>
        <w:gridCol w:w="3969"/>
        <w:gridCol w:w="1265"/>
        <w:gridCol w:w="2138"/>
      </w:tblGrid>
      <w:tr w:rsidR="00441C18" w14:paraId="5AAD72AF" w14:textId="77777777" w:rsidTr="00B468FF">
        <w:trPr>
          <w:tblHeader/>
        </w:trPr>
        <w:tc>
          <w:tcPr>
            <w:tcW w:w="2835" w:type="dxa"/>
            <w:shd w:val="clear" w:color="auto" w:fill="9CC2E5" w:themeFill="accent1" w:themeFillTint="99"/>
          </w:tcPr>
          <w:p w14:paraId="136C9DC9"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G блогының критерийлері / Критерийлер тобы (корпоративтік басқару)</w:t>
            </w:r>
          </w:p>
        </w:tc>
        <w:tc>
          <w:tcPr>
            <w:tcW w:w="3969" w:type="dxa"/>
            <w:shd w:val="clear" w:color="auto" w:fill="9CC2E5" w:themeFill="accent1" w:themeFillTint="99"/>
          </w:tcPr>
          <w:p w14:paraId="48EDEF47" w14:textId="77777777" w:rsidR="00DA33E8" w:rsidRPr="00755BA5" w:rsidRDefault="00B468FF" w:rsidP="00762849">
            <w:pPr>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Ақпарат көзі</w:t>
            </w:r>
          </w:p>
        </w:tc>
        <w:tc>
          <w:tcPr>
            <w:tcW w:w="1265" w:type="dxa"/>
            <w:shd w:val="clear" w:color="auto" w:fill="9CC2E5" w:themeFill="accent1" w:themeFillTint="99"/>
          </w:tcPr>
          <w:p w14:paraId="6B0146AA" w14:textId="77777777" w:rsidR="00DA33E8" w:rsidRPr="00755BA5" w:rsidRDefault="00B468FF" w:rsidP="00762849">
            <w:pPr>
              <w:ind w:left="-127" w:right="-115"/>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Критерий бойынша жеңілдік 0,5%</w:t>
            </w:r>
          </w:p>
        </w:tc>
        <w:tc>
          <w:tcPr>
            <w:tcW w:w="2138" w:type="dxa"/>
            <w:shd w:val="clear" w:color="auto" w:fill="9CC2E5" w:themeFill="accent1" w:themeFillTint="99"/>
          </w:tcPr>
          <w:p w14:paraId="2B00D9BA" w14:textId="77777777" w:rsidR="00DA33E8" w:rsidRPr="00755BA5" w:rsidRDefault="00B468FF" w:rsidP="00762849">
            <w:pPr>
              <w:ind w:left="-93" w:right="-113"/>
              <w:contextualSpacing/>
              <w:jc w:val="center"/>
              <w:rPr>
                <w:rFonts w:ascii="Times New Roman" w:hAnsi="Times New Roman" w:cs="Times New Roman"/>
                <w:b/>
                <w:sz w:val="24"/>
                <w:szCs w:val="24"/>
              </w:rPr>
            </w:pPr>
            <w:r w:rsidRPr="00755BA5">
              <w:rPr>
                <w:rFonts w:ascii="Times New Roman" w:hAnsi="Times New Roman" w:cs="Times New Roman"/>
                <w:b/>
                <w:sz w:val="24"/>
                <w:szCs w:val="24"/>
                <w:lang w:val="kk"/>
              </w:rPr>
              <w:t>Комментарийлер, ескертпелер</w:t>
            </w:r>
          </w:p>
        </w:tc>
      </w:tr>
      <w:tr w:rsidR="00441C18" w14:paraId="152F34D5" w14:textId="77777777" w:rsidTr="00B468FF">
        <w:tc>
          <w:tcPr>
            <w:tcW w:w="2835" w:type="dxa"/>
          </w:tcPr>
          <w:p w14:paraId="4B1593AB" w14:textId="77777777" w:rsidR="00DA33E8" w:rsidRPr="00755BA5" w:rsidRDefault="00B468FF" w:rsidP="00DA33E8">
            <w:pPr>
              <w:numPr>
                <w:ilvl w:val="0"/>
                <w:numId w:val="2"/>
              </w:numPr>
              <w:ind w:left="0" w:firstLine="35"/>
              <w:contextualSpacing/>
              <w:rPr>
                <w:rFonts w:ascii="Times New Roman" w:hAnsi="Times New Roman" w:cs="Times New Roman"/>
                <w:sz w:val="24"/>
                <w:szCs w:val="24"/>
              </w:rPr>
            </w:pPr>
            <w:r w:rsidRPr="00755BA5">
              <w:rPr>
                <w:rFonts w:ascii="Times New Roman" w:hAnsi="Times New Roman" w:cs="Times New Roman"/>
                <w:sz w:val="24"/>
                <w:szCs w:val="24"/>
                <w:lang w:val="kk"/>
              </w:rPr>
              <w:t>Тәуекелдерді басқару және ішкі бақылау жүйесінің болуы</w:t>
            </w:r>
          </w:p>
        </w:tc>
        <w:tc>
          <w:tcPr>
            <w:tcW w:w="3969" w:type="dxa"/>
          </w:tcPr>
          <w:p w14:paraId="15CED6C6"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 xml:space="preserve">Тәуекелдерді басқару жүйесіне, </w:t>
            </w:r>
            <w:r w:rsidRPr="00755BA5">
              <w:rPr>
                <w:rFonts w:ascii="Times New Roman" w:hAnsi="Times New Roman" w:cs="Times New Roman"/>
                <w:sz w:val="24"/>
                <w:szCs w:val="24"/>
                <w:lang w:val="kk"/>
              </w:rPr>
              <w:t>тәуекелдерді бағалау әдістемесіне және тәуекелдерді басқару рәсімдеріне қатысты құжаттар;</w:t>
            </w:r>
          </w:p>
        </w:tc>
        <w:tc>
          <w:tcPr>
            <w:tcW w:w="1265" w:type="dxa"/>
          </w:tcPr>
          <w:p w14:paraId="3B1220A1" w14:textId="77777777" w:rsidR="00DA33E8" w:rsidRPr="00755BA5" w:rsidRDefault="00DA33E8" w:rsidP="00762849">
            <w:pPr>
              <w:rPr>
                <w:rFonts w:ascii="Times New Roman" w:hAnsi="Times New Roman" w:cs="Times New Roman"/>
                <w:sz w:val="24"/>
                <w:szCs w:val="24"/>
              </w:rPr>
            </w:pPr>
          </w:p>
        </w:tc>
        <w:tc>
          <w:tcPr>
            <w:tcW w:w="2138" w:type="dxa"/>
          </w:tcPr>
          <w:p w14:paraId="417A8AE4" w14:textId="77777777" w:rsidR="00DA33E8" w:rsidRPr="00755BA5" w:rsidRDefault="00DA33E8" w:rsidP="00762849">
            <w:pPr>
              <w:rPr>
                <w:rFonts w:ascii="Times New Roman" w:hAnsi="Times New Roman" w:cs="Times New Roman"/>
                <w:sz w:val="24"/>
                <w:szCs w:val="24"/>
              </w:rPr>
            </w:pPr>
          </w:p>
        </w:tc>
      </w:tr>
      <w:tr w:rsidR="00441C18" w14:paraId="4121BAA1" w14:textId="77777777" w:rsidTr="00B468FF">
        <w:tc>
          <w:tcPr>
            <w:tcW w:w="2835" w:type="dxa"/>
          </w:tcPr>
          <w:p w14:paraId="4F0A875A" w14:textId="77777777" w:rsidR="00DA33E8" w:rsidRPr="00755BA5" w:rsidRDefault="00B468FF" w:rsidP="00DA33E8">
            <w:pPr>
              <w:numPr>
                <w:ilvl w:val="0"/>
                <w:numId w:val="2"/>
              </w:numPr>
              <w:ind w:left="0" w:firstLine="0"/>
              <w:contextualSpacing/>
              <w:rPr>
                <w:rFonts w:ascii="Times New Roman" w:hAnsi="Times New Roman" w:cs="Times New Roman"/>
                <w:sz w:val="24"/>
                <w:szCs w:val="24"/>
              </w:rPr>
            </w:pPr>
            <w:r w:rsidRPr="00755BA5">
              <w:rPr>
                <w:rFonts w:ascii="Times New Roman" w:hAnsi="Times New Roman" w:cs="Times New Roman"/>
                <w:sz w:val="24"/>
                <w:szCs w:val="24"/>
                <w:lang w:val="kk"/>
              </w:rPr>
              <w:t>Алдыңғы есепті тоқсандағы КШЕ мен Баланстың болуы</w:t>
            </w:r>
          </w:p>
        </w:tc>
        <w:tc>
          <w:tcPr>
            <w:tcW w:w="3969" w:type="dxa"/>
          </w:tcPr>
          <w:p w14:paraId="61F75578" w14:textId="77777777" w:rsidR="00DA33E8" w:rsidRPr="00755BA5" w:rsidRDefault="00B468FF" w:rsidP="00762849">
            <w:pPr>
              <w:tabs>
                <w:tab w:val="left" w:pos="2252"/>
              </w:tabs>
              <w:jc w:val="both"/>
              <w:rPr>
                <w:rFonts w:ascii="Times New Roman" w:hAnsi="Times New Roman" w:cs="Times New Roman"/>
                <w:sz w:val="24"/>
                <w:szCs w:val="24"/>
              </w:rPr>
            </w:pPr>
            <w:r w:rsidRPr="00755BA5">
              <w:rPr>
                <w:rFonts w:ascii="Times New Roman" w:hAnsi="Times New Roman" w:cs="Times New Roman"/>
                <w:sz w:val="24"/>
                <w:szCs w:val="24"/>
                <w:lang w:val="kk"/>
              </w:rPr>
              <w:t>Соңғы үш кезеңдегі КШЕ және баланс не соңғы аяқталған екі кезеңдегі қарыз алушының/қосалқы қарыз алушының/кепілгердің аудиттелген қаржылық есептілігі (бар болса)</w:t>
            </w:r>
          </w:p>
        </w:tc>
        <w:tc>
          <w:tcPr>
            <w:tcW w:w="1265" w:type="dxa"/>
          </w:tcPr>
          <w:p w14:paraId="6896CB43" w14:textId="77777777" w:rsidR="00DA33E8" w:rsidRPr="00755BA5" w:rsidRDefault="00DA33E8" w:rsidP="00762849">
            <w:pPr>
              <w:rPr>
                <w:rFonts w:ascii="Times New Roman" w:hAnsi="Times New Roman" w:cs="Times New Roman"/>
                <w:sz w:val="24"/>
                <w:szCs w:val="24"/>
              </w:rPr>
            </w:pPr>
          </w:p>
        </w:tc>
        <w:tc>
          <w:tcPr>
            <w:tcW w:w="2138" w:type="dxa"/>
          </w:tcPr>
          <w:p w14:paraId="7C00AE0A" w14:textId="77777777" w:rsidR="00DA33E8" w:rsidRPr="00755BA5" w:rsidRDefault="00DA33E8" w:rsidP="00762849">
            <w:pPr>
              <w:rPr>
                <w:rFonts w:ascii="Times New Roman" w:hAnsi="Times New Roman" w:cs="Times New Roman"/>
                <w:sz w:val="24"/>
                <w:szCs w:val="24"/>
              </w:rPr>
            </w:pPr>
          </w:p>
        </w:tc>
      </w:tr>
      <w:tr w:rsidR="00441C18" w14:paraId="78C00580" w14:textId="77777777" w:rsidTr="00B468FF">
        <w:tc>
          <w:tcPr>
            <w:tcW w:w="2835" w:type="dxa"/>
          </w:tcPr>
          <w:p w14:paraId="46019C36" w14:textId="77777777" w:rsidR="00DA33E8" w:rsidRPr="00755BA5" w:rsidRDefault="00B468FF" w:rsidP="00762849">
            <w:pPr>
              <w:contextualSpacing/>
              <w:rPr>
                <w:rFonts w:ascii="Times New Roman" w:hAnsi="Times New Roman" w:cs="Times New Roman"/>
                <w:sz w:val="24"/>
                <w:szCs w:val="24"/>
              </w:rPr>
            </w:pPr>
            <w:r w:rsidRPr="00755BA5">
              <w:rPr>
                <w:rFonts w:ascii="Times New Roman" w:hAnsi="Times New Roman" w:cs="Times New Roman"/>
                <w:sz w:val="24"/>
                <w:szCs w:val="24"/>
                <w:lang w:val="kk"/>
              </w:rPr>
              <w:lastRenderedPageBreak/>
              <w:t>Барлық критерийлер бойынша жалпы жеңілдік</w:t>
            </w:r>
          </w:p>
        </w:tc>
        <w:tc>
          <w:tcPr>
            <w:tcW w:w="3969" w:type="dxa"/>
          </w:tcPr>
          <w:p w14:paraId="46D2A8C5" w14:textId="77777777" w:rsidR="00DA33E8" w:rsidRPr="00755BA5" w:rsidRDefault="00B468FF" w:rsidP="00762849">
            <w:pPr>
              <w:rPr>
                <w:rFonts w:ascii="Times New Roman" w:hAnsi="Times New Roman" w:cs="Times New Roman"/>
                <w:sz w:val="24"/>
                <w:szCs w:val="24"/>
              </w:rPr>
            </w:pPr>
            <w:r w:rsidRPr="00755BA5">
              <w:rPr>
                <w:rFonts w:ascii="Times New Roman" w:hAnsi="Times New Roman" w:cs="Times New Roman"/>
                <w:sz w:val="24"/>
                <w:szCs w:val="24"/>
                <w:lang w:val="kk"/>
              </w:rPr>
              <w:t>Барлық критерийлер бойынша барлық жеңілдіктер сомасы</w:t>
            </w:r>
          </w:p>
        </w:tc>
        <w:tc>
          <w:tcPr>
            <w:tcW w:w="1265" w:type="dxa"/>
          </w:tcPr>
          <w:p w14:paraId="1AA16FA6" w14:textId="77777777" w:rsidR="00DA33E8" w:rsidRPr="00755BA5" w:rsidRDefault="00DA33E8" w:rsidP="00762849">
            <w:pPr>
              <w:rPr>
                <w:rFonts w:ascii="Times New Roman" w:hAnsi="Times New Roman" w:cs="Times New Roman"/>
                <w:sz w:val="24"/>
                <w:szCs w:val="24"/>
              </w:rPr>
            </w:pPr>
          </w:p>
        </w:tc>
        <w:tc>
          <w:tcPr>
            <w:tcW w:w="2138" w:type="dxa"/>
          </w:tcPr>
          <w:p w14:paraId="3E45043A" w14:textId="77777777" w:rsidR="00DA33E8" w:rsidRPr="00755BA5" w:rsidRDefault="00DA33E8" w:rsidP="00762849">
            <w:pPr>
              <w:rPr>
                <w:rFonts w:ascii="Times New Roman" w:hAnsi="Times New Roman" w:cs="Times New Roman"/>
                <w:sz w:val="24"/>
                <w:szCs w:val="24"/>
              </w:rPr>
            </w:pPr>
          </w:p>
        </w:tc>
      </w:tr>
    </w:tbl>
    <w:p w14:paraId="799FF6EF" w14:textId="77777777" w:rsidR="00DA33E8" w:rsidRPr="00755BA5" w:rsidRDefault="00DA33E8" w:rsidP="00DA33E8">
      <w:pPr>
        <w:spacing w:after="0" w:line="240" w:lineRule="auto"/>
        <w:rPr>
          <w:rFonts w:ascii="Times New Roman" w:eastAsia="Times New Roman" w:hAnsi="Times New Roman" w:cs="Times New Roman"/>
          <w:sz w:val="24"/>
          <w:szCs w:val="24"/>
        </w:rPr>
      </w:pPr>
    </w:p>
    <w:p w14:paraId="08D11D59" w14:textId="77777777" w:rsidR="00DA33E8" w:rsidRPr="00755BA5" w:rsidRDefault="00B468FF" w:rsidP="00DA33E8">
      <w:pPr>
        <w:spacing w:after="0" w:line="240" w:lineRule="auto"/>
        <w:rPr>
          <w:rFonts w:ascii="Times New Roman" w:eastAsia="Times New Roman" w:hAnsi="Times New Roman" w:cs="Times New Roman"/>
          <w:sz w:val="24"/>
          <w:szCs w:val="24"/>
        </w:rPr>
      </w:pPr>
      <w:r w:rsidRPr="00755BA5">
        <w:rPr>
          <w:rFonts w:ascii="Times New Roman" w:eastAsia="Times New Roman" w:hAnsi="Times New Roman" w:cs="Times New Roman"/>
          <w:sz w:val="24"/>
          <w:szCs w:val="24"/>
          <w:lang w:val="kk"/>
        </w:rPr>
        <w:t>Жауапты тұлға (лауазымы, қолы)</w:t>
      </w:r>
    </w:p>
    <w:p w14:paraId="595F8FCF" w14:textId="77777777" w:rsidR="00DA33E8" w:rsidRPr="00755BA5" w:rsidRDefault="00B468FF" w:rsidP="00DA33E8">
      <w:pPr>
        <w:spacing w:after="0" w:line="240" w:lineRule="auto"/>
        <w:rPr>
          <w:rFonts w:ascii="Times New Roman" w:eastAsia="Times New Roman" w:hAnsi="Times New Roman" w:cs="Times New Roman"/>
          <w:sz w:val="24"/>
          <w:szCs w:val="24"/>
        </w:rPr>
      </w:pPr>
      <w:r w:rsidRPr="00755BA5">
        <w:rPr>
          <w:rFonts w:ascii="Times New Roman" w:eastAsia="Times New Roman" w:hAnsi="Times New Roman" w:cs="Times New Roman"/>
          <w:sz w:val="24"/>
          <w:szCs w:val="24"/>
          <w:lang w:val="kk"/>
        </w:rPr>
        <w:t>М.О.</w:t>
      </w:r>
    </w:p>
    <w:p w14:paraId="421CE60B" w14:textId="77777777" w:rsidR="00DA33E8" w:rsidRPr="00755BA5" w:rsidRDefault="00DA33E8" w:rsidP="00DA33E8">
      <w:pPr>
        <w:spacing w:after="0" w:line="240" w:lineRule="auto"/>
        <w:ind w:firstLine="567"/>
        <w:jc w:val="both"/>
        <w:rPr>
          <w:rFonts w:ascii="Times New Roman" w:hAnsi="Times New Roman" w:cs="Times New Roman"/>
          <w:sz w:val="24"/>
          <w:szCs w:val="24"/>
        </w:rPr>
      </w:pPr>
    </w:p>
    <w:p w14:paraId="69B218C6" w14:textId="77777777" w:rsidR="00DA33E8" w:rsidRPr="00755BA5" w:rsidRDefault="00B468FF" w:rsidP="00DA33E8">
      <w:pPr>
        <w:spacing w:after="0" w:line="240" w:lineRule="auto"/>
        <w:ind w:firstLine="567"/>
        <w:jc w:val="both"/>
        <w:rPr>
          <w:rFonts w:ascii="Times New Roman" w:hAnsi="Times New Roman" w:cs="Times New Roman"/>
          <w:i/>
          <w:iCs/>
          <w:sz w:val="24"/>
          <w:szCs w:val="24"/>
        </w:rPr>
      </w:pPr>
      <w:r w:rsidRPr="00755BA5">
        <w:rPr>
          <w:rFonts w:ascii="Times New Roman" w:hAnsi="Times New Roman" w:cs="Times New Roman"/>
          <w:i/>
          <w:iCs/>
          <w:sz w:val="24"/>
          <w:szCs w:val="24"/>
          <w:lang w:val="kk"/>
        </w:rPr>
        <w:t xml:space="preserve">Кестенің әрбір критерийі оң жауап болған кезде тарифтің 0,5 </w:t>
      </w:r>
      <w:r w:rsidRPr="00755BA5">
        <w:rPr>
          <w:rFonts w:ascii="Times New Roman" w:hAnsi="Times New Roman" w:cs="Times New Roman"/>
          <w:i/>
          <w:iCs/>
          <w:sz w:val="24"/>
          <w:szCs w:val="24"/>
          <w:lang w:val="kk"/>
        </w:rPr>
        <w:t>пайызы мөлшерінде жеңілдік анықтайды.</w:t>
      </w:r>
    </w:p>
    <w:p w14:paraId="706D4988" w14:textId="18816207" w:rsidR="00DA33E8" w:rsidRPr="00755BA5" w:rsidRDefault="004F7A96" w:rsidP="00DA33E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lang w:val="kk"/>
        </w:rPr>
        <w:t>«</w:t>
      </w:r>
      <w:r w:rsidRPr="00755BA5">
        <w:rPr>
          <w:rFonts w:ascii="Times New Roman" w:hAnsi="Times New Roman" w:cs="Times New Roman"/>
          <w:i/>
          <w:iCs/>
          <w:sz w:val="24"/>
          <w:szCs w:val="24"/>
          <w:lang w:val="kk"/>
        </w:rPr>
        <w:t>*</w:t>
      </w:r>
      <w:r>
        <w:rPr>
          <w:rFonts w:ascii="Times New Roman" w:hAnsi="Times New Roman" w:cs="Times New Roman"/>
          <w:i/>
          <w:iCs/>
          <w:sz w:val="24"/>
          <w:szCs w:val="24"/>
          <w:lang w:val="kk"/>
        </w:rPr>
        <w:t>»</w:t>
      </w:r>
      <w:r w:rsidRPr="00755BA5">
        <w:rPr>
          <w:rFonts w:ascii="Times New Roman" w:hAnsi="Times New Roman" w:cs="Times New Roman"/>
          <w:i/>
          <w:iCs/>
          <w:sz w:val="24"/>
          <w:szCs w:val="24"/>
          <w:lang w:val="kk"/>
        </w:rPr>
        <w:t xml:space="preserve"> жұлдызшасы бар критерийлер бойынша оң жауап болған жағдайда, оның орнықты даму қағидаттарына бейілділігін ескере отырып, клиент бойынша жеңілдік кестенің барлық критерийлері бойынша қолданылмайды.</w:t>
      </w:r>
    </w:p>
    <w:p w14:paraId="2BAACBF0" w14:textId="77777777" w:rsidR="00DA33E8" w:rsidRPr="00755BA5" w:rsidRDefault="00B468FF" w:rsidP="00DA33E8">
      <w:pPr>
        <w:spacing w:after="0" w:line="240" w:lineRule="auto"/>
        <w:ind w:firstLine="567"/>
        <w:jc w:val="both"/>
        <w:rPr>
          <w:rFonts w:ascii="Times New Roman" w:hAnsi="Times New Roman" w:cs="Times New Roman"/>
          <w:i/>
          <w:iCs/>
          <w:sz w:val="24"/>
          <w:szCs w:val="24"/>
        </w:rPr>
      </w:pPr>
      <w:r w:rsidRPr="00755BA5">
        <w:rPr>
          <w:rFonts w:ascii="Times New Roman" w:hAnsi="Times New Roman" w:cs="Times New Roman"/>
          <w:i/>
          <w:iCs/>
          <w:sz w:val="24"/>
          <w:szCs w:val="24"/>
          <w:lang w:val="kk"/>
        </w:rPr>
        <w:t>Жеңілдік тарифі = Т * (1-k%),</w:t>
      </w:r>
    </w:p>
    <w:p w14:paraId="525E6E75" w14:textId="77777777" w:rsidR="00DA33E8" w:rsidRPr="00755BA5" w:rsidRDefault="00B468FF" w:rsidP="00DA33E8">
      <w:pPr>
        <w:spacing w:after="0" w:line="240" w:lineRule="auto"/>
        <w:ind w:firstLine="567"/>
        <w:jc w:val="both"/>
        <w:rPr>
          <w:rFonts w:ascii="Times New Roman" w:hAnsi="Times New Roman" w:cs="Times New Roman"/>
          <w:i/>
          <w:iCs/>
          <w:sz w:val="24"/>
          <w:szCs w:val="24"/>
        </w:rPr>
      </w:pPr>
      <w:r w:rsidRPr="00755BA5">
        <w:rPr>
          <w:rFonts w:ascii="Times New Roman" w:hAnsi="Times New Roman" w:cs="Times New Roman"/>
          <w:i/>
          <w:iCs/>
          <w:sz w:val="24"/>
          <w:szCs w:val="24"/>
          <w:lang w:val="kk"/>
        </w:rPr>
        <w:t>мұндағы k% - сауалнаманың барлық критерийлері бойынша жеңілдіктер пайызының қосындысы, К ең жоғарғы мәні 10%-ға тең;</w:t>
      </w:r>
    </w:p>
    <w:p w14:paraId="0BC06828" w14:textId="53C243B5" w:rsidR="00DA33E8" w:rsidRPr="00755BA5" w:rsidRDefault="00B468FF" w:rsidP="00DA33E8">
      <w:pPr>
        <w:spacing w:after="0" w:line="240" w:lineRule="auto"/>
        <w:ind w:firstLine="567"/>
        <w:jc w:val="both"/>
        <w:rPr>
          <w:rFonts w:ascii="Times New Roman" w:hAnsi="Times New Roman" w:cs="Times New Roman"/>
          <w:i/>
          <w:iCs/>
          <w:sz w:val="24"/>
          <w:szCs w:val="24"/>
        </w:rPr>
      </w:pPr>
      <w:r w:rsidRPr="00755BA5">
        <w:rPr>
          <w:rFonts w:ascii="Times New Roman" w:hAnsi="Times New Roman" w:cs="Times New Roman"/>
          <w:i/>
          <w:iCs/>
          <w:sz w:val="24"/>
          <w:szCs w:val="24"/>
          <w:lang w:val="kk"/>
        </w:rPr>
        <w:t xml:space="preserve">Т - </w:t>
      </w:r>
      <w:r w:rsidR="004F7A96">
        <w:rPr>
          <w:rFonts w:ascii="Times New Roman" w:hAnsi="Times New Roman" w:cs="Times New Roman"/>
          <w:i/>
          <w:iCs/>
          <w:sz w:val="24"/>
          <w:szCs w:val="24"/>
          <w:lang w:val="kk"/>
        </w:rPr>
        <w:t>«</w:t>
      </w:r>
      <w:r w:rsidRPr="00755BA5">
        <w:rPr>
          <w:rFonts w:ascii="Times New Roman" w:hAnsi="Times New Roman" w:cs="Times New Roman"/>
          <w:i/>
          <w:iCs/>
          <w:sz w:val="24"/>
          <w:szCs w:val="24"/>
          <w:lang w:val="kk"/>
        </w:rPr>
        <w:t>Қазақстанның</w:t>
      </w:r>
      <w:r w:rsidRPr="00755BA5">
        <w:rPr>
          <w:rFonts w:ascii="Times New Roman" w:hAnsi="Times New Roman" w:cs="Times New Roman"/>
          <w:i/>
          <w:iCs/>
          <w:sz w:val="24"/>
          <w:szCs w:val="24"/>
          <w:lang w:val="kk"/>
        </w:rPr>
        <w:t xml:space="preserve"> Экспорттық-кредиттік агенттігі</w:t>
      </w:r>
      <w:r w:rsidR="004F7A96">
        <w:rPr>
          <w:rFonts w:ascii="Times New Roman" w:hAnsi="Times New Roman" w:cs="Times New Roman"/>
          <w:i/>
          <w:iCs/>
          <w:sz w:val="24"/>
          <w:szCs w:val="24"/>
          <w:lang w:val="kk"/>
        </w:rPr>
        <w:t>»</w:t>
      </w:r>
      <w:r w:rsidRPr="00755BA5">
        <w:rPr>
          <w:rFonts w:ascii="Times New Roman" w:hAnsi="Times New Roman" w:cs="Times New Roman"/>
          <w:i/>
          <w:iCs/>
          <w:sz w:val="24"/>
          <w:szCs w:val="24"/>
          <w:lang w:val="kk"/>
        </w:rPr>
        <w:t xml:space="preserve"> АҚ-тың сақтандыру және қайта сақтандыру шарттары бойынша тарифтік мөлшерлемелерді белгілеу саясатының 6-тарауына сәйкес айқындалған.</w:t>
      </w:r>
    </w:p>
    <w:p w14:paraId="049C09D1" w14:textId="77777777" w:rsidR="00091669" w:rsidRPr="00755BA5" w:rsidRDefault="00091669"/>
    <w:sectPr w:rsidR="00091669" w:rsidRPr="00755BA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F7726"/>
    <w:multiLevelType w:val="hybridMultilevel"/>
    <w:tmpl w:val="9304A26C"/>
    <w:lvl w:ilvl="0" w:tplc="BCA23A9E">
      <w:start w:val="1"/>
      <w:numFmt w:val="decimal"/>
      <w:lvlText w:val="%1."/>
      <w:lvlJc w:val="left"/>
      <w:pPr>
        <w:ind w:left="720" w:hanging="360"/>
      </w:pPr>
      <w:rPr>
        <w:rFonts w:hint="default"/>
      </w:rPr>
    </w:lvl>
    <w:lvl w:ilvl="1" w:tplc="40BAAF04" w:tentative="1">
      <w:start w:val="1"/>
      <w:numFmt w:val="lowerLetter"/>
      <w:lvlText w:val="%2."/>
      <w:lvlJc w:val="left"/>
      <w:pPr>
        <w:ind w:left="1440" w:hanging="360"/>
      </w:pPr>
    </w:lvl>
    <w:lvl w:ilvl="2" w:tplc="CB948420" w:tentative="1">
      <w:start w:val="1"/>
      <w:numFmt w:val="lowerRoman"/>
      <w:lvlText w:val="%3."/>
      <w:lvlJc w:val="right"/>
      <w:pPr>
        <w:ind w:left="2160" w:hanging="180"/>
      </w:pPr>
    </w:lvl>
    <w:lvl w:ilvl="3" w:tplc="420C5AD6" w:tentative="1">
      <w:start w:val="1"/>
      <w:numFmt w:val="decimal"/>
      <w:lvlText w:val="%4."/>
      <w:lvlJc w:val="left"/>
      <w:pPr>
        <w:ind w:left="2880" w:hanging="360"/>
      </w:pPr>
    </w:lvl>
    <w:lvl w:ilvl="4" w:tplc="4F804A6C" w:tentative="1">
      <w:start w:val="1"/>
      <w:numFmt w:val="lowerLetter"/>
      <w:lvlText w:val="%5."/>
      <w:lvlJc w:val="left"/>
      <w:pPr>
        <w:ind w:left="3600" w:hanging="360"/>
      </w:pPr>
    </w:lvl>
    <w:lvl w:ilvl="5" w:tplc="A9ACD894" w:tentative="1">
      <w:start w:val="1"/>
      <w:numFmt w:val="lowerRoman"/>
      <w:lvlText w:val="%6."/>
      <w:lvlJc w:val="right"/>
      <w:pPr>
        <w:ind w:left="4320" w:hanging="180"/>
      </w:pPr>
    </w:lvl>
    <w:lvl w:ilvl="6" w:tplc="388A5A6A" w:tentative="1">
      <w:start w:val="1"/>
      <w:numFmt w:val="decimal"/>
      <w:lvlText w:val="%7."/>
      <w:lvlJc w:val="left"/>
      <w:pPr>
        <w:ind w:left="5040" w:hanging="360"/>
      </w:pPr>
    </w:lvl>
    <w:lvl w:ilvl="7" w:tplc="2E8654CE" w:tentative="1">
      <w:start w:val="1"/>
      <w:numFmt w:val="lowerLetter"/>
      <w:lvlText w:val="%8."/>
      <w:lvlJc w:val="left"/>
      <w:pPr>
        <w:ind w:left="5760" w:hanging="360"/>
      </w:pPr>
    </w:lvl>
    <w:lvl w:ilvl="8" w:tplc="D9A63E10" w:tentative="1">
      <w:start w:val="1"/>
      <w:numFmt w:val="lowerRoman"/>
      <w:lvlText w:val="%9."/>
      <w:lvlJc w:val="right"/>
      <w:pPr>
        <w:ind w:left="6480" w:hanging="180"/>
      </w:pPr>
    </w:lvl>
  </w:abstractNum>
  <w:abstractNum w:abstractNumId="1" w15:restartNumberingAfterBreak="0">
    <w:nsid w:val="72736A8D"/>
    <w:multiLevelType w:val="multilevel"/>
    <w:tmpl w:val="239C8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9723642">
    <w:abstractNumId w:val="0"/>
  </w:num>
  <w:num w:numId="2" w16cid:durableId="203144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1F"/>
    <w:rsid w:val="00091669"/>
    <w:rsid w:val="00300A1F"/>
    <w:rsid w:val="00347700"/>
    <w:rsid w:val="00441C18"/>
    <w:rsid w:val="004F7A96"/>
    <w:rsid w:val="00755BA5"/>
    <w:rsid w:val="00762849"/>
    <w:rsid w:val="00796606"/>
    <w:rsid w:val="00AD5795"/>
    <w:rsid w:val="00B468FF"/>
    <w:rsid w:val="00B46B7C"/>
    <w:rsid w:val="00DA33E8"/>
    <w:rsid w:val="00F5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FAE1"/>
  <w15:chartTrackingRefBased/>
  <w15:docId w15:val="{0E21B60B-7295-42BB-A97A-9047275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E8"/>
    <w:rPr>
      <w:kern w:val="0"/>
      <w:lang w:val="ru-RU"/>
      <w14:ligatures w14:val="none"/>
    </w:rPr>
  </w:style>
  <w:style w:type="paragraph" w:styleId="1">
    <w:name w:val="heading 1"/>
    <w:basedOn w:val="a"/>
    <w:next w:val="a"/>
    <w:link w:val="10"/>
    <w:uiPriority w:val="9"/>
    <w:qFormat/>
    <w:rsid w:val="00300A1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00A1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00A1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300A1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300A1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00A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0A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0A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0A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A1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00A1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00A1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00A1F"/>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300A1F"/>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300A1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0A1F"/>
    <w:rPr>
      <w:rFonts w:eastAsiaTheme="majorEastAsia" w:cstheme="majorBidi"/>
      <w:color w:val="595959" w:themeColor="text1" w:themeTint="A6"/>
    </w:rPr>
  </w:style>
  <w:style w:type="character" w:customStyle="1" w:styleId="80">
    <w:name w:val="Заголовок 8 Знак"/>
    <w:basedOn w:val="a0"/>
    <w:link w:val="8"/>
    <w:uiPriority w:val="9"/>
    <w:semiHidden/>
    <w:rsid w:val="00300A1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0A1F"/>
    <w:rPr>
      <w:rFonts w:eastAsiaTheme="majorEastAsia" w:cstheme="majorBidi"/>
      <w:color w:val="272727" w:themeColor="text1" w:themeTint="D8"/>
    </w:rPr>
  </w:style>
  <w:style w:type="paragraph" w:styleId="a3">
    <w:name w:val="Title"/>
    <w:basedOn w:val="a"/>
    <w:next w:val="a"/>
    <w:link w:val="a4"/>
    <w:uiPriority w:val="10"/>
    <w:qFormat/>
    <w:rsid w:val="0030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0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1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00A1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0A1F"/>
    <w:pPr>
      <w:spacing w:before="160"/>
      <w:jc w:val="center"/>
    </w:pPr>
    <w:rPr>
      <w:i/>
      <w:iCs/>
      <w:color w:val="404040" w:themeColor="text1" w:themeTint="BF"/>
    </w:rPr>
  </w:style>
  <w:style w:type="character" w:customStyle="1" w:styleId="22">
    <w:name w:val="Цитата 2 Знак"/>
    <w:basedOn w:val="a0"/>
    <w:link w:val="21"/>
    <w:uiPriority w:val="29"/>
    <w:rsid w:val="00300A1F"/>
    <w:rPr>
      <w:i/>
      <w:iCs/>
      <w:color w:val="404040" w:themeColor="text1" w:themeTint="BF"/>
    </w:rPr>
  </w:style>
  <w:style w:type="paragraph" w:styleId="a7">
    <w:name w:val="List Paragraph"/>
    <w:basedOn w:val="a"/>
    <w:uiPriority w:val="34"/>
    <w:qFormat/>
    <w:rsid w:val="00300A1F"/>
    <w:pPr>
      <w:ind w:left="720"/>
      <w:contextualSpacing/>
    </w:pPr>
  </w:style>
  <w:style w:type="character" w:styleId="a8">
    <w:name w:val="Intense Emphasis"/>
    <w:basedOn w:val="a0"/>
    <w:uiPriority w:val="21"/>
    <w:qFormat/>
    <w:rsid w:val="00300A1F"/>
    <w:rPr>
      <w:i/>
      <w:iCs/>
      <w:color w:val="2E74B5" w:themeColor="accent1" w:themeShade="BF"/>
    </w:rPr>
  </w:style>
  <w:style w:type="paragraph" w:styleId="a9">
    <w:name w:val="Intense Quote"/>
    <w:basedOn w:val="a"/>
    <w:next w:val="a"/>
    <w:link w:val="aa"/>
    <w:uiPriority w:val="30"/>
    <w:qFormat/>
    <w:rsid w:val="00300A1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00A1F"/>
    <w:rPr>
      <w:i/>
      <w:iCs/>
      <w:color w:val="2E74B5" w:themeColor="accent1" w:themeShade="BF"/>
    </w:rPr>
  </w:style>
  <w:style w:type="character" w:styleId="ab">
    <w:name w:val="Intense Reference"/>
    <w:basedOn w:val="a0"/>
    <w:uiPriority w:val="32"/>
    <w:qFormat/>
    <w:rsid w:val="00300A1F"/>
    <w:rPr>
      <w:b/>
      <w:bCs/>
      <w:smallCaps/>
      <w:color w:val="2E74B5" w:themeColor="accent1" w:themeShade="BF"/>
      <w:spacing w:val="5"/>
    </w:rPr>
  </w:style>
  <w:style w:type="table" w:customStyle="1" w:styleId="47">
    <w:name w:val="Сетка таблицы47"/>
    <w:basedOn w:val="a1"/>
    <w:next w:val="ac"/>
    <w:uiPriority w:val="39"/>
    <w:rsid w:val="00DA33E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DA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Айжамал Сыздыкова</dc:creator>
  <cp:lastModifiedBy>Айжамал Сыздыкова</cp:lastModifiedBy>
  <cp:revision>6</cp:revision>
  <dcterms:created xsi:type="dcterms:W3CDTF">2025-04-22T05:38:00Z</dcterms:created>
  <dcterms:modified xsi:type="dcterms:W3CDTF">2025-04-22T11:15:00Z</dcterms:modified>
</cp:coreProperties>
</file>