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33" w:rsidRPr="00316C74" w:rsidRDefault="00A50033" w:rsidP="00A50033">
      <w:pPr>
        <w:ind w:left="851" w:right="141" w:hanging="851"/>
        <w:contextualSpacing/>
        <w:jc w:val="center"/>
        <w:rPr>
          <w:b/>
          <w:color w:val="auto"/>
          <w:szCs w:val="24"/>
        </w:rPr>
      </w:pPr>
      <w:bookmarkStart w:id="0" w:name="_GoBack"/>
      <w:r w:rsidRPr="00316C74">
        <w:rPr>
          <w:b/>
        </w:rPr>
        <w:t>ПЕРЕЧЕНЬ ДОКУМЕНТОВ ПРИ ПРЕДОСТАВЛЕНИИ ОБЕСПЕЧЕНИЯ</w:t>
      </w:r>
    </w:p>
    <w:bookmarkEnd w:id="0"/>
    <w:p w:rsidR="00A50033" w:rsidRPr="00316C74" w:rsidRDefault="00A50033" w:rsidP="00A50033">
      <w:pPr>
        <w:ind w:right="141"/>
        <w:contextualSpacing/>
        <w:rPr>
          <w:color w:val="auto"/>
        </w:rPr>
      </w:pPr>
    </w:p>
    <w:p w:rsidR="00A50033" w:rsidRPr="00316C74" w:rsidRDefault="00A50033" w:rsidP="00A50033">
      <w:pPr>
        <w:ind w:right="141" w:firstLine="708"/>
        <w:contextualSpacing/>
        <w:jc w:val="both"/>
        <w:rPr>
          <w:i/>
          <w:color w:val="auto"/>
          <w:szCs w:val="24"/>
        </w:rPr>
      </w:pPr>
      <w:r w:rsidRPr="00316C74">
        <w:rPr>
          <w:i/>
          <w:color w:val="auto"/>
          <w:szCs w:val="24"/>
        </w:rPr>
        <w:t>В зависимости от вида имущества, предлагаемого в залог, основания и порядка его приобретения в собственность, могут быть затребованы иные документы, необходимые для установления действительной принадлежности Залогодателю имущества, предлагаемого в залог, определения стоимости имущества и принятия окончательного решения о принятии предлагаемого имущества в залог.</w:t>
      </w:r>
    </w:p>
    <w:p w:rsidR="00A50033" w:rsidRPr="00316C74" w:rsidRDefault="00A50033" w:rsidP="00A50033">
      <w:pPr>
        <w:ind w:right="141" w:firstLine="708"/>
        <w:contextualSpacing/>
        <w:jc w:val="both"/>
        <w:rPr>
          <w:i/>
          <w:color w:val="auto"/>
          <w:szCs w:val="24"/>
        </w:rPr>
      </w:pPr>
      <w:r w:rsidRPr="00316C74">
        <w:rPr>
          <w:i/>
          <w:color w:val="auto"/>
          <w:szCs w:val="24"/>
        </w:rPr>
        <w:t>В случае отсутствия возможности предоставления оригинала правоустанавливающего документа по причине их нахождения в иных организациях, то Заемщику/Залогодателю необходимо предоставить:</w:t>
      </w:r>
    </w:p>
    <w:p w:rsidR="00A50033" w:rsidRPr="00316C74" w:rsidRDefault="00A50033" w:rsidP="00A50033">
      <w:pPr>
        <w:numPr>
          <w:ilvl w:val="0"/>
          <w:numId w:val="1"/>
        </w:numPr>
        <w:tabs>
          <w:tab w:val="left" w:pos="176"/>
          <w:tab w:val="left" w:pos="1049"/>
        </w:tabs>
        <w:ind w:right="141" w:firstLine="743"/>
        <w:contextualSpacing/>
        <w:jc w:val="both"/>
        <w:rPr>
          <w:i/>
          <w:color w:val="auto"/>
          <w:szCs w:val="24"/>
        </w:rPr>
      </w:pPr>
      <w:r w:rsidRPr="00316C74">
        <w:rPr>
          <w:i/>
          <w:color w:val="auto"/>
          <w:szCs w:val="24"/>
        </w:rPr>
        <w:t>нотариально заверенную копию (финансовые институты);</w:t>
      </w:r>
    </w:p>
    <w:p w:rsidR="00A50033" w:rsidRPr="00316C74" w:rsidRDefault="00A50033" w:rsidP="00A50033">
      <w:pPr>
        <w:numPr>
          <w:ilvl w:val="0"/>
          <w:numId w:val="1"/>
        </w:numPr>
        <w:tabs>
          <w:tab w:val="left" w:pos="176"/>
          <w:tab w:val="left" w:pos="1049"/>
        </w:tabs>
        <w:ind w:right="141" w:firstLine="743"/>
        <w:contextualSpacing/>
        <w:jc w:val="both"/>
        <w:rPr>
          <w:i/>
          <w:color w:val="auto"/>
          <w:szCs w:val="24"/>
        </w:rPr>
      </w:pPr>
      <w:r w:rsidRPr="00316C74">
        <w:rPr>
          <w:i/>
          <w:color w:val="auto"/>
          <w:szCs w:val="24"/>
        </w:rPr>
        <w:t>заверенная печатью копия (ДАО АО «НУХ «Байтерек»).</w:t>
      </w:r>
    </w:p>
    <w:p w:rsidR="00A50033" w:rsidRPr="00316C74" w:rsidRDefault="00A50033" w:rsidP="00A50033">
      <w:pPr>
        <w:ind w:right="141"/>
        <w:contextualSpacing/>
        <w:jc w:val="both"/>
        <w:rPr>
          <w:b/>
          <w:i/>
          <w:color w:val="auto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96"/>
        <w:gridCol w:w="1560"/>
      </w:tblGrid>
      <w:tr w:rsidR="00A50033" w:rsidRPr="00316C74" w:rsidTr="0014686D">
        <w:tc>
          <w:tcPr>
            <w:tcW w:w="709" w:type="dxa"/>
            <w:shd w:val="clear" w:color="auto" w:fill="DAEEF3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b/>
                <w:i/>
                <w:color w:val="auto"/>
                <w:szCs w:val="24"/>
              </w:rPr>
            </w:pPr>
            <w:r w:rsidRPr="00316C74">
              <w:rPr>
                <w:b/>
                <w:i/>
                <w:color w:val="auto"/>
                <w:szCs w:val="24"/>
              </w:rPr>
              <w:t>1</w:t>
            </w:r>
          </w:p>
        </w:tc>
        <w:tc>
          <w:tcPr>
            <w:tcW w:w="7796" w:type="dxa"/>
            <w:shd w:val="clear" w:color="auto" w:fill="DAEEF3"/>
            <w:vAlign w:val="bottom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b/>
                <w:i/>
                <w:color w:val="auto"/>
                <w:szCs w:val="24"/>
              </w:rPr>
            </w:pPr>
            <w:r w:rsidRPr="00316C74">
              <w:rPr>
                <w:b/>
                <w:i/>
                <w:color w:val="auto"/>
                <w:szCs w:val="24"/>
              </w:rPr>
              <w:t>Документы на залоговое имущество:</w:t>
            </w:r>
          </w:p>
        </w:tc>
        <w:tc>
          <w:tcPr>
            <w:tcW w:w="1560" w:type="dxa"/>
            <w:shd w:val="clear" w:color="auto" w:fill="DAEEF3"/>
          </w:tcPr>
          <w:p w:rsidR="00A50033" w:rsidRPr="00316C74" w:rsidRDefault="00A50033" w:rsidP="0014686D">
            <w:pPr>
              <w:ind w:hanging="108"/>
              <w:contextualSpacing/>
              <w:jc w:val="center"/>
              <w:rPr>
                <w:b/>
                <w:i/>
                <w:color w:val="auto"/>
                <w:szCs w:val="24"/>
              </w:rPr>
            </w:pPr>
            <w:r w:rsidRPr="00316C74">
              <w:rPr>
                <w:b/>
                <w:i/>
                <w:color w:val="auto"/>
                <w:szCs w:val="24"/>
              </w:rPr>
              <w:t>Примечание</w:t>
            </w:r>
          </w:p>
        </w:tc>
      </w:tr>
      <w:tr w:rsidR="00A50033" w:rsidRPr="00316C74" w:rsidTr="0014686D"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b/>
                <w:color w:val="auto"/>
                <w:szCs w:val="24"/>
                <w:lang w:val="kk-KZ"/>
              </w:rPr>
            </w:pPr>
            <w:r w:rsidRPr="00316C74">
              <w:rPr>
                <w:b/>
                <w:color w:val="auto"/>
                <w:szCs w:val="24"/>
                <w:lang w:val="kk-KZ"/>
              </w:rPr>
              <w:t>1</w:t>
            </w:r>
          </w:p>
        </w:tc>
        <w:tc>
          <w:tcPr>
            <w:tcW w:w="7796" w:type="dxa"/>
            <w:vAlign w:val="bottom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b/>
                <w:color w:val="auto"/>
                <w:szCs w:val="24"/>
              </w:rPr>
            </w:pPr>
            <w:r w:rsidRPr="00316C74">
              <w:rPr>
                <w:color w:val="auto"/>
              </w:rPr>
              <w:t>Отчет оценщика об оценке, определяющий и доказывающий рыночную стоимость заложенного имущества</w:t>
            </w:r>
            <w:r w:rsidRPr="00316C74">
              <w:rPr>
                <w:color w:val="auto"/>
                <w:lang w:val="kk-KZ"/>
              </w:rPr>
              <w:t>*</w:t>
            </w:r>
            <w:r w:rsidRPr="00316C74">
              <w:rPr>
                <w:color w:val="auto"/>
              </w:rPr>
              <w:t>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Оригинал</w:t>
            </w:r>
          </w:p>
        </w:tc>
      </w:tr>
      <w:tr w:rsidR="00A50033" w:rsidRPr="00316C74" w:rsidTr="0014686D"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1.1</w:t>
            </w:r>
          </w:p>
        </w:tc>
        <w:tc>
          <w:tcPr>
            <w:tcW w:w="7796" w:type="dxa"/>
            <w:vAlign w:val="bottom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Документы, на основании которых залогодатель приобрел право на имущество (в зависимости от основания приобретения):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</w:p>
        </w:tc>
      </w:tr>
      <w:tr w:rsidR="00A50033" w:rsidRPr="00316C74" w:rsidTr="0014686D">
        <w:tc>
          <w:tcPr>
            <w:tcW w:w="709" w:type="dxa"/>
            <w:tcBorders>
              <w:bottom w:val="single" w:sz="4" w:space="0" w:color="auto"/>
            </w:tcBorders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 xml:space="preserve">Договор купли-продажи, договор приватизации, свидетельство о праве наследования по закону или по завещанию, договор дарения, договор мены, </w:t>
            </w:r>
            <w:r w:rsidRPr="00316C74">
              <w:rPr>
                <w:color w:val="auto"/>
                <w:shd w:val="clear" w:color="auto" w:fill="FFFFFF"/>
              </w:rPr>
              <w:t>акта приемки построенного объекта в эксплуатацию</w:t>
            </w:r>
            <w:r w:rsidRPr="00316C74">
              <w:rPr>
                <w:color w:val="auto"/>
                <w:szCs w:val="24"/>
              </w:rPr>
              <w:t>, р</w:t>
            </w:r>
            <w:r w:rsidRPr="00316C74">
              <w:rPr>
                <w:bCs/>
                <w:color w:val="auto"/>
                <w:szCs w:val="24"/>
              </w:rPr>
              <w:t>ешение Комиссии по проведению легализации недвижимого имущества, находящегося на территории Республики Казахстан, права на которые не оформлены в соответствии с законодательством Республики Казахстан о легализации недвижимого имущества и/или</w:t>
            </w:r>
            <w:r w:rsidRPr="00316C74">
              <w:rPr>
                <w:bCs/>
                <w:i/>
                <w:color w:val="auto"/>
                <w:szCs w:val="24"/>
              </w:rPr>
              <w:t xml:space="preserve"> </w:t>
            </w:r>
            <w:r w:rsidRPr="00316C74">
              <w:rPr>
                <w:bCs/>
                <w:color w:val="auto"/>
                <w:szCs w:val="24"/>
              </w:rPr>
              <w:t xml:space="preserve">Акт о приемке легализованного объекта строительства в эксплуатацию, </w:t>
            </w:r>
            <w:r w:rsidRPr="00316C74">
              <w:rPr>
                <w:color w:val="auto"/>
                <w:szCs w:val="24"/>
              </w:rPr>
              <w:t xml:space="preserve">решение суда, с отметкой о вступлении его в законную силу, договор купли-продажи или аренды земельного участка, решения местных исполнительных органов о предоставлении соответствующего права на земельный участок, иные документы подтверждающие право залогодателя на имущество, передаваемое в залог, с отметкой о регистрации государственных уполномоченных органов либо с уведомлением о государственной регистрации (в зависимости от вида имущества) с приложением </w:t>
            </w:r>
            <w:r w:rsidRPr="00316C74">
              <w:rPr>
                <w:rFonts w:eastAsia="Calibri"/>
                <w:color w:val="auto"/>
                <w:spacing w:val="-2"/>
                <w:szCs w:val="24"/>
                <w:lang w:eastAsia="en-US"/>
              </w:rPr>
              <w:t>справки органа государственных доходов об отсутствии задолженности по оплате налога на имущество и земельного участка (арендных платежей).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Оригинал</w:t>
            </w:r>
          </w:p>
        </w:tc>
      </w:tr>
      <w:tr w:rsidR="00A50033" w:rsidRPr="00316C74" w:rsidTr="0014686D">
        <w:tc>
          <w:tcPr>
            <w:tcW w:w="709" w:type="dxa"/>
            <w:tcBorders>
              <w:bottom w:val="single" w:sz="4" w:space="0" w:color="auto"/>
            </w:tcBorders>
            <w:shd w:val="clear" w:color="auto" w:fill="DAEEF3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b/>
                <w:i/>
                <w:color w:val="auto"/>
                <w:szCs w:val="24"/>
              </w:rPr>
            </w:pPr>
            <w:r w:rsidRPr="00316C74">
              <w:rPr>
                <w:b/>
                <w:i/>
                <w:color w:val="auto"/>
                <w:szCs w:val="24"/>
              </w:rPr>
              <w:t>2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DAEEF3"/>
            <w:vAlign w:val="bottom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b/>
                <w:i/>
                <w:color w:val="auto"/>
                <w:szCs w:val="24"/>
              </w:rPr>
            </w:pPr>
            <w:r w:rsidRPr="00316C74">
              <w:rPr>
                <w:b/>
                <w:i/>
                <w:color w:val="auto"/>
                <w:szCs w:val="24"/>
              </w:rPr>
              <w:t xml:space="preserve">Движимое/недвижимое имущество: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AEEF3"/>
          </w:tcPr>
          <w:p w:rsidR="00A50033" w:rsidRPr="00316C74" w:rsidRDefault="00A50033" w:rsidP="0014686D">
            <w:pPr>
              <w:ind w:right="-108" w:hanging="108"/>
              <w:contextualSpacing/>
              <w:jc w:val="center"/>
              <w:rPr>
                <w:b/>
                <w:i/>
                <w:color w:val="auto"/>
                <w:szCs w:val="24"/>
              </w:rPr>
            </w:pPr>
            <w:r w:rsidRPr="00316C74">
              <w:rPr>
                <w:b/>
                <w:i/>
                <w:color w:val="auto"/>
                <w:szCs w:val="24"/>
              </w:rPr>
              <w:t>Примечание</w:t>
            </w:r>
          </w:p>
        </w:tc>
      </w:tr>
      <w:tr w:rsidR="00A50033" w:rsidRPr="00316C74" w:rsidTr="0014686D">
        <w:tc>
          <w:tcPr>
            <w:tcW w:w="709" w:type="dxa"/>
            <w:shd w:val="clear" w:color="auto" w:fill="FBD4B4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2.1</w:t>
            </w:r>
          </w:p>
        </w:tc>
        <w:tc>
          <w:tcPr>
            <w:tcW w:w="7796" w:type="dxa"/>
            <w:shd w:val="clear" w:color="auto" w:fill="FBD4B4"/>
            <w:vAlign w:val="bottom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 xml:space="preserve">Земельные </w:t>
            </w:r>
            <w:proofErr w:type="gramStart"/>
            <w:r w:rsidRPr="00316C74">
              <w:rPr>
                <w:b/>
                <w:color w:val="auto"/>
                <w:szCs w:val="24"/>
              </w:rPr>
              <w:t xml:space="preserve">участки:  </w:t>
            </w:r>
            <w:proofErr w:type="gramEnd"/>
          </w:p>
        </w:tc>
        <w:tc>
          <w:tcPr>
            <w:tcW w:w="1560" w:type="dxa"/>
            <w:shd w:val="clear" w:color="auto" w:fill="FBD4B4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</w:p>
        </w:tc>
      </w:tr>
      <w:tr w:rsidR="00A50033" w:rsidRPr="00316C74" w:rsidTr="0014686D"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1</w:t>
            </w:r>
          </w:p>
        </w:tc>
        <w:tc>
          <w:tcPr>
            <w:tcW w:w="7796" w:type="dxa"/>
            <w:vAlign w:val="bottom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Зарегистрированный в уполномоченных государственных органах правоустанавливающий документ о приобретении земельного участка в собственность либо в долгосрочную аренду залогодателя.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 xml:space="preserve"> Оригинал </w:t>
            </w:r>
          </w:p>
        </w:tc>
      </w:tr>
      <w:tr w:rsidR="00A50033" w:rsidRPr="00316C74" w:rsidTr="0014686D"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2</w:t>
            </w:r>
          </w:p>
        </w:tc>
        <w:tc>
          <w:tcPr>
            <w:tcW w:w="7796" w:type="dxa"/>
            <w:vAlign w:val="bottom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b/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Акт на право частной собственности либо на право временного долгосрочного землепользования на земельный участок/Акт на земельный участок в форме электронного документа, подписанного ЭЦП уполномоченного органа.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 xml:space="preserve"> Оригинал/</w:t>
            </w:r>
          </w:p>
          <w:p w:rsidR="00A50033" w:rsidRPr="00316C74" w:rsidRDefault="00A50033" w:rsidP="0014686D">
            <w:pPr>
              <w:ind w:right="-108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 xml:space="preserve">электронный документ </w:t>
            </w:r>
          </w:p>
        </w:tc>
      </w:tr>
      <w:tr w:rsidR="00A50033" w:rsidRPr="00316C74" w:rsidTr="0014686D"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3</w:t>
            </w:r>
          </w:p>
        </w:tc>
        <w:tc>
          <w:tcPr>
            <w:tcW w:w="7796" w:type="dxa"/>
            <w:vAlign w:val="bottom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Справка о зарегистрированных правах (обременениях) на недвижимое имущество и его технических характеристиках, сроком выдачи не ранее 30 дней до даты подачи заявки на финансирование.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Оригинал/ электронный документ</w:t>
            </w:r>
          </w:p>
        </w:tc>
      </w:tr>
      <w:tr w:rsidR="00A50033" w:rsidRPr="00316C74" w:rsidTr="0014686D">
        <w:trPr>
          <w:trHeight w:val="60"/>
        </w:trPr>
        <w:tc>
          <w:tcPr>
            <w:tcW w:w="709" w:type="dxa"/>
            <w:shd w:val="clear" w:color="auto" w:fill="FBD4B4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2.2</w:t>
            </w:r>
          </w:p>
        </w:tc>
        <w:tc>
          <w:tcPr>
            <w:tcW w:w="7796" w:type="dxa"/>
            <w:shd w:val="clear" w:color="auto" w:fill="FBD4B4"/>
            <w:vAlign w:val="bottom"/>
          </w:tcPr>
          <w:p w:rsidR="00A50033" w:rsidRPr="00316C74" w:rsidRDefault="00A50033" w:rsidP="0014686D">
            <w:pPr>
              <w:ind w:right="141"/>
              <w:contextualSpacing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Квартиры:</w:t>
            </w:r>
          </w:p>
        </w:tc>
        <w:tc>
          <w:tcPr>
            <w:tcW w:w="1560" w:type="dxa"/>
            <w:shd w:val="clear" w:color="auto" w:fill="FBD4B4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</w:p>
        </w:tc>
      </w:tr>
      <w:tr w:rsidR="00A50033" w:rsidRPr="00316C74" w:rsidTr="0014686D"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1</w:t>
            </w:r>
          </w:p>
        </w:tc>
        <w:tc>
          <w:tcPr>
            <w:tcW w:w="7796" w:type="dxa"/>
            <w:vAlign w:val="bottom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 xml:space="preserve">Технический паспорт на квартиру (план – </w:t>
            </w:r>
            <w:proofErr w:type="gramStart"/>
            <w:r w:rsidRPr="00316C74">
              <w:rPr>
                <w:color w:val="auto"/>
                <w:szCs w:val="24"/>
              </w:rPr>
              <w:t>схема)/</w:t>
            </w:r>
            <w:proofErr w:type="gramEnd"/>
            <w:r w:rsidRPr="00316C74">
              <w:rPr>
                <w:color w:val="auto"/>
                <w:szCs w:val="24"/>
              </w:rPr>
              <w:t>технический паспорт в форме электронного документа.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 xml:space="preserve"> Оригинал </w:t>
            </w:r>
          </w:p>
        </w:tc>
      </w:tr>
      <w:tr w:rsidR="00A50033" w:rsidRPr="00316C74" w:rsidTr="0014686D"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lastRenderedPageBreak/>
              <w:t>2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Справка о зарегистрированных правах (обременениях) на недвижимое имущество и его технических характеристиках, сроком выдачи не ранее 30 дней до даты подачи заявки на финансирование.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Оригинал</w:t>
            </w:r>
          </w:p>
        </w:tc>
      </w:tr>
      <w:tr w:rsidR="00A50033" w:rsidRPr="00316C74" w:rsidTr="0014686D">
        <w:tc>
          <w:tcPr>
            <w:tcW w:w="709" w:type="dxa"/>
            <w:shd w:val="clear" w:color="auto" w:fill="FBD4B4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2.3</w:t>
            </w:r>
          </w:p>
        </w:tc>
        <w:tc>
          <w:tcPr>
            <w:tcW w:w="7796" w:type="dxa"/>
            <w:shd w:val="clear" w:color="auto" w:fill="FBD4B4"/>
            <w:vAlign w:val="bottom"/>
          </w:tcPr>
          <w:p w:rsidR="00A50033" w:rsidRPr="00316C74" w:rsidRDefault="00A50033" w:rsidP="0014686D">
            <w:pPr>
              <w:ind w:right="141"/>
              <w:contextualSpacing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Жилые дома:</w:t>
            </w:r>
          </w:p>
        </w:tc>
        <w:tc>
          <w:tcPr>
            <w:tcW w:w="1560" w:type="dxa"/>
            <w:shd w:val="clear" w:color="auto" w:fill="FBD4B4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</w:p>
        </w:tc>
      </w:tr>
      <w:tr w:rsidR="00A50033" w:rsidRPr="00316C74" w:rsidTr="0014686D"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1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Технический паспорт на жилой дом.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 xml:space="preserve"> Оригинал </w:t>
            </w:r>
          </w:p>
        </w:tc>
      </w:tr>
      <w:tr w:rsidR="00A50033" w:rsidRPr="00316C74" w:rsidTr="0014686D"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2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Справка о зарегистрированных правах (обременениях) на недвижимое имущество и его технических характеристиках, сроком выдачи не ранее 30 дней до даты подачи заявки на финансирование.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 xml:space="preserve">Оригинал </w:t>
            </w:r>
          </w:p>
        </w:tc>
      </w:tr>
      <w:tr w:rsidR="00A50033" w:rsidRPr="00316C74" w:rsidTr="0014686D">
        <w:tc>
          <w:tcPr>
            <w:tcW w:w="709" w:type="dxa"/>
            <w:shd w:val="clear" w:color="auto" w:fill="FBD4B4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2.4</w:t>
            </w:r>
          </w:p>
        </w:tc>
        <w:tc>
          <w:tcPr>
            <w:tcW w:w="7796" w:type="dxa"/>
            <w:shd w:val="clear" w:color="auto" w:fill="FBD4B4"/>
            <w:vAlign w:val="bottom"/>
          </w:tcPr>
          <w:p w:rsidR="00A50033" w:rsidRPr="00316C74" w:rsidRDefault="00A50033" w:rsidP="0014686D">
            <w:pPr>
              <w:ind w:right="141"/>
              <w:contextualSpacing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Здания, сооружения:</w:t>
            </w:r>
          </w:p>
        </w:tc>
        <w:tc>
          <w:tcPr>
            <w:tcW w:w="1560" w:type="dxa"/>
            <w:shd w:val="clear" w:color="auto" w:fill="FBD4B4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</w:p>
        </w:tc>
      </w:tr>
      <w:tr w:rsidR="00A50033" w:rsidRPr="00316C74" w:rsidTr="0014686D"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1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Технический (-</w:t>
            </w:r>
            <w:proofErr w:type="spellStart"/>
            <w:r w:rsidRPr="00316C74">
              <w:rPr>
                <w:color w:val="auto"/>
                <w:szCs w:val="24"/>
              </w:rPr>
              <w:t>ие</w:t>
            </w:r>
            <w:proofErr w:type="spellEnd"/>
            <w:r w:rsidRPr="00316C74">
              <w:rPr>
                <w:color w:val="auto"/>
                <w:szCs w:val="24"/>
              </w:rPr>
              <w:t>) паспорт (-а) на здания (строения, сооружения).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 xml:space="preserve"> Оригинал </w:t>
            </w:r>
          </w:p>
        </w:tc>
      </w:tr>
      <w:tr w:rsidR="00A50033" w:rsidRPr="00316C74" w:rsidTr="0014686D"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2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Справка о зарегистрированных правах (обременениях) на недвижимое имущество и его технических характеристиках, сроком выдачи не ранее 30 дней до даты подачи заявки на финансирование.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Оригинал</w:t>
            </w:r>
          </w:p>
        </w:tc>
      </w:tr>
      <w:tr w:rsidR="00A50033" w:rsidRPr="00316C74" w:rsidTr="0014686D"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3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В отношении земельного участка, территориально обеспечивающего здания и сооружения, документы, перечисленные в пункте 2.1 настоящего перечня.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 xml:space="preserve">Оригинал </w:t>
            </w:r>
          </w:p>
        </w:tc>
      </w:tr>
      <w:tr w:rsidR="00A50033" w:rsidRPr="00316C74" w:rsidTr="0014686D">
        <w:tc>
          <w:tcPr>
            <w:tcW w:w="709" w:type="dxa"/>
            <w:shd w:val="clear" w:color="auto" w:fill="FBD4B4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2.5</w:t>
            </w:r>
          </w:p>
        </w:tc>
        <w:tc>
          <w:tcPr>
            <w:tcW w:w="7796" w:type="dxa"/>
            <w:shd w:val="clear" w:color="auto" w:fill="FBD4B4"/>
            <w:vAlign w:val="bottom"/>
          </w:tcPr>
          <w:p w:rsidR="00A50033" w:rsidRPr="00316C74" w:rsidRDefault="00A50033" w:rsidP="0014686D">
            <w:pPr>
              <w:ind w:right="141"/>
              <w:contextualSpacing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Имущественные комплексы (предприятия):</w:t>
            </w:r>
          </w:p>
        </w:tc>
        <w:tc>
          <w:tcPr>
            <w:tcW w:w="1560" w:type="dxa"/>
            <w:shd w:val="clear" w:color="auto" w:fill="FBD4B4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</w:p>
        </w:tc>
      </w:tr>
      <w:tr w:rsidR="00A50033" w:rsidRPr="00316C74" w:rsidTr="0014686D"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1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Технический паспорт на предприятие как имущественный комплекс.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 xml:space="preserve">Оригинал </w:t>
            </w:r>
          </w:p>
        </w:tc>
      </w:tr>
      <w:tr w:rsidR="00A50033" w:rsidRPr="00316C74" w:rsidTr="0014686D"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2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  <w:lang w:eastAsia="x-none"/>
              </w:rPr>
            </w:pPr>
            <w:r w:rsidRPr="00316C74">
              <w:rPr>
                <w:color w:val="auto"/>
                <w:szCs w:val="24"/>
                <w:lang w:val="x-none" w:eastAsia="x-none"/>
              </w:rPr>
              <w:t xml:space="preserve">Справка о зарегистрированных правах (обременениях) на недвижимое имущество и его технических характеристиках, сроком выдачи не ранее </w:t>
            </w:r>
            <w:r w:rsidRPr="00316C74">
              <w:rPr>
                <w:color w:val="auto"/>
                <w:szCs w:val="24"/>
                <w:lang w:eastAsia="x-none"/>
              </w:rPr>
              <w:t xml:space="preserve">30 </w:t>
            </w:r>
            <w:r w:rsidRPr="00316C74">
              <w:rPr>
                <w:color w:val="auto"/>
                <w:szCs w:val="24"/>
                <w:lang w:val="x-none" w:eastAsia="x-none"/>
              </w:rPr>
              <w:t>дней до даты подачи заявки на финансирование.</w:t>
            </w:r>
          </w:p>
          <w:p w:rsidR="00A50033" w:rsidRPr="00316C74" w:rsidRDefault="00A50033" w:rsidP="0014686D">
            <w:pPr>
              <w:ind w:right="141"/>
              <w:contextualSpacing/>
              <w:jc w:val="both"/>
              <w:rPr>
                <w:i/>
                <w:color w:val="auto"/>
                <w:szCs w:val="24"/>
                <w:lang w:val="x-none" w:eastAsia="x-none"/>
              </w:rPr>
            </w:pPr>
            <w:r w:rsidRPr="00316C74">
              <w:rPr>
                <w:bCs/>
                <w:i/>
                <w:color w:val="auto"/>
                <w:szCs w:val="24"/>
                <w:lang w:val="x-none" w:eastAsia="x-none"/>
              </w:rPr>
              <w:t>Примечание:</w:t>
            </w:r>
            <w:r w:rsidRPr="00316C74">
              <w:rPr>
                <w:bCs/>
                <w:i/>
                <w:color w:val="auto"/>
                <w:szCs w:val="24"/>
                <w:lang w:eastAsia="x-none"/>
              </w:rPr>
              <w:t xml:space="preserve"> </w:t>
            </w:r>
            <w:r w:rsidRPr="00316C74">
              <w:rPr>
                <w:i/>
                <w:color w:val="auto"/>
                <w:szCs w:val="24"/>
                <w:lang w:val="x-none" w:eastAsia="x-none"/>
              </w:rPr>
              <w:t>Для оформления в залог объекта как имущественного комплекса в справке должно быть указано, что объект зарегистрирован в качестве имущественного комплекса.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 xml:space="preserve">Оригинал </w:t>
            </w:r>
          </w:p>
        </w:tc>
      </w:tr>
      <w:tr w:rsidR="00A50033" w:rsidRPr="00316C74" w:rsidTr="0014686D"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3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Перечень имущества, входящего в состав имущественного комплекса, с указанием наименования и технических характеристик имущества, передаваемого в залог, за подписью уполномоченного лица залогодателя.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 xml:space="preserve"> Оригинал </w:t>
            </w:r>
          </w:p>
        </w:tc>
      </w:tr>
      <w:tr w:rsidR="00A50033" w:rsidRPr="00316C74" w:rsidTr="0014686D"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4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В отношении земельного участка, зданий и сооружений – все документы, перечисленные выше в пункте 2.1. и 2.4 настоящего Перечня соответственно.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Оригинал</w:t>
            </w:r>
          </w:p>
        </w:tc>
      </w:tr>
      <w:tr w:rsidR="00A50033" w:rsidRPr="00316C74" w:rsidTr="0014686D"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5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В отношении движимого имущества, входящего в состав имущественного комплекса – все документы, перечисленные в настоящем Перечне, в зависимости от вида имущества.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Оригинал</w:t>
            </w:r>
          </w:p>
        </w:tc>
      </w:tr>
      <w:tr w:rsidR="00A50033" w:rsidRPr="00316C74" w:rsidTr="0014686D">
        <w:tc>
          <w:tcPr>
            <w:tcW w:w="709" w:type="dxa"/>
            <w:shd w:val="clear" w:color="auto" w:fill="FBD4B4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2.6</w:t>
            </w:r>
          </w:p>
        </w:tc>
        <w:tc>
          <w:tcPr>
            <w:tcW w:w="7796" w:type="dxa"/>
            <w:shd w:val="clear" w:color="auto" w:fill="FBD4B4"/>
            <w:vAlign w:val="bottom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Транспортные средства и специализированная техника:</w:t>
            </w:r>
          </w:p>
        </w:tc>
        <w:tc>
          <w:tcPr>
            <w:tcW w:w="1560" w:type="dxa"/>
            <w:shd w:val="clear" w:color="auto" w:fill="FBD4B4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</w:p>
        </w:tc>
      </w:tr>
      <w:tr w:rsidR="00A50033" w:rsidRPr="00316C74" w:rsidTr="0014686D"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1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Свидетельство о регистрации транспортного средства (технический паспорт на сельскохозяйственную технику).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НЗК</w:t>
            </w:r>
          </w:p>
        </w:tc>
      </w:tr>
      <w:tr w:rsidR="00A50033" w:rsidRPr="00316C74" w:rsidTr="0014686D"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2</w:t>
            </w:r>
          </w:p>
        </w:tc>
        <w:tc>
          <w:tcPr>
            <w:tcW w:w="7796" w:type="dxa"/>
            <w:vAlign w:val="bottom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Справка с уполномоченного органа, подтверждающая отсутствие обременений на транспортные средства и специальную технику (арест, залог), сроком выдачи не ранее 30 дней до даты подачи заявки на финансирование.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Оригинал</w:t>
            </w:r>
          </w:p>
        </w:tc>
      </w:tr>
      <w:tr w:rsidR="00A50033" w:rsidRPr="00316C74" w:rsidTr="0014686D">
        <w:tc>
          <w:tcPr>
            <w:tcW w:w="709" w:type="dxa"/>
            <w:shd w:val="clear" w:color="auto" w:fill="FBD4B4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2.7</w:t>
            </w:r>
          </w:p>
        </w:tc>
        <w:tc>
          <w:tcPr>
            <w:tcW w:w="7796" w:type="dxa"/>
            <w:shd w:val="clear" w:color="auto" w:fill="FBD4B4"/>
            <w:vAlign w:val="bottom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Навесное, прицепное и другие виды оборудования:</w:t>
            </w:r>
          </w:p>
        </w:tc>
        <w:tc>
          <w:tcPr>
            <w:tcW w:w="1560" w:type="dxa"/>
            <w:shd w:val="clear" w:color="auto" w:fill="FBD4B4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</w:p>
        </w:tc>
      </w:tr>
      <w:tr w:rsidR="00A50033" w:rsidRPr="00316C74" w:rsidTr="0014686D"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1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Правоустанавливающие документы о приобретении оборудования в собственность залогодателя (акт приема-сдачи (поставщика – покупателю), форма ОС-1 от торгующей организации, контракт на приобретение, договор купли-продажи и другие правоустанавливающие документы).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 xml:space="preserve"> Оригинал </w:t>
            </w:r>
          </w:p>
        </w:tc>
      </w:tr>
      <w:tr w:rsidR="00A50033" w:rsidRPr="00316C74" w:rsidTr="0014686D"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2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Таможенная декларация с отметками об уплате таможенных сборов, пошлин и НДС (в случае импорта), товарно-транспортные документы, инвойсы, счета-фактуры.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Копия</w:t>
            </w:r>
          </w:p>
        </w:tc>
      </w:tr>
      <w:tr w:rsidR="00A50033" w:rsidRPr="00316C74" w:rsidTr="0014686D"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lastRenderedPageBreak/>
              <w:t>3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Справка с уполномоченного органа, подтверждающая отсутствие обременений на оборудование или выписка из реестра залога движимого имущества.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 xml:space="preserve">Оригинал </w:t>
            </w:r>
          </w:p>
        </w:tc>
      </w:tr>
      <w:tr w:rsidR="00A50033" w:rsidRPr="00316C74" w:rsidTr="0014686D">
        <w:tc>
          <w:tcPr>
            <w:tcW w:w="709" w:type="dxa"/>
            <w:shd w:val="clear" w:color="auto" w:fill="FBD4B4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2.8</w:t>
            </w:r>
          </w:p>
        </w:tc>
        <w:tc>
          <w:tcPr>
            <w:tcW w:w="7796" w:type="dxa"/>
            <w:shd w:val="clear" w:color="auto" w:fill="FBD4B4"/>
            <w:vAlign w:val="bottom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Денежные средства на счетах в банках второго уровня:</w:t>
            </w:r>
          </w:p>
        </w:tc>
        <w:tc>
          <w:tcPr>
            <w:tcW w:w="1560" w:type="dxa"/>
            <w:shd w:val="clear" w:color="auto" w:fill="FBD4B4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</w:p>
        </w:tc>
      </w:tr>
      <w:tr w:rsidR="00A50033" w:rsidRPr="00316C74" w:rsidTr="0014686D"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1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 xml:space="preserve">Договор банковского вклада (экземпляр вкладчика) (в соответствии с требованиями, определенными Залоговой политикой). 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Оригинал</w:t>
            </w:r>
          </w:p>
        </w:tc>
      </w:tr>
      <w:tr w:rsidR="00A50033" w:rsidRPr="00316C74" w:rsidTr="0014686D"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2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Справка банка, где размещен вклад, о состоянии счета (размере банковского вклада на текущую дату либо на момент залога).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Оригинал</w:t>
            </w:r>
          </w:p>
        </w:tc>
      </w:tr>
      <w:tr w:rsidR="00A50033" w:rsidRPr="00316C74" w:rsidTr="0014686D">
        <w:tc>
          <w:tcPr>
            <w:tcW w:w="709" w:type="dxa"/>
            <w:shd w:val="clear" w:color="auto" w:fill="FBD4B4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2.9</w:t>
            </w:r>
          </w:p>
        </w:tc>
        <w:tc>
          <w:tcPr>
            <w:tcW w:w="7796" w:type="dxa"/>
            <w:shd w:val="clear" w:color="auto" w:fill="FBD4B4"/>
            <w:vAlign w:val="bottom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Имущество, поступающее в будущем:</w:t>
            </w:r>
          </w:p>
        </w:tc>
        <w:tc>
          <w:tcPr>
            <w:tcW w:w="1560" w:type="dxa"/>
            <w:shd w:val="clear" w:color="auto" w:fill="FBD4B4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</w:p>
        </w:tc>
      </w:tr>
      <w:tr w:rsidR="00A50033" w:rsidRPr="00316C74" w:rsidTr="0014686D">
        <w:tc>
          <w:tcPr>
            <w:tcW w:w="709" w:type="dxa"/>
            <w:vAlign w:val="center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1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Договор поставки имущества, контракт либо иной документ (со всеми спецификациями, позволяющими идентифицировать имущество и установить его стоимость), подтверждающий поступление имущества залогодателю в будущем.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tabs>
                <w:tab w:val="left" w:pos="1452"/>
              </w:tabs>
              <w:ind w:left="-249" w:right="-249" w:firstLine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 xml:space="preserve">Копия, сверенная с оригиналом </w:t>
            </w:r>
          </w:p>
        </w:tc>
      </w:tr>
      <w:tr w:rsidR="00A50033" w:rsidRPr="00316C74" w:rsidTr="0014686D">
        <w:tc>
          <w:tcPr>
            <w:tcW w:w="709" w:type="dxa"/>
            <w:shd w:val="clear" w:color="auto" w:fill="FBD4B4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2.10</w:t>
            </w:r>
          </w:p>
        </w:tc>
        <w:tc>
          <w:tcPr>
            <w:tcW w:w="7796" w:type="dxa"/>
            <w:shd w:val="clear" w:color="auto" w:fill="FBD4B4"/>
            <w:vAlign w:val="bottom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Товары в обороте:</w:t>
            </w:r>
          </w:p>
        </w:tc>
        <w:tc>
          <w:tcPr>
            <w:tcW w:w="1560" w:type="dxa"/>
            <w:shd w:val="clear" w:color="auto" w:fill="FBD4B4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</w:p>
        </w:tc>
      </w:tr>
      <w:tr w:rsidR="00A50033" w:rsidRPr="00316C74" w:rsidTr="0014686D">
        <w:tc>
          <w:tcPr>
            <w:tcW w:w="709" w:type="dxa"/>
            <w:vAlign w:val="center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1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Документы, подтверждающие происхождение и наличие товара (сертификат происхождения, таможенная декларация, контракт, счета-фактуры, накладные/акты приема-передачи и иные документы.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-108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 xml:space="preserve">Копия, сверенная с оригиналом </w:t>
            </w:r>
          </w:p>
        </w:tc>
      </w:tr>
      <w:tr w:rsidR="00A50033" w:rsidRPr="00316C74" w:rsidTr="0014686D">
        <w:tc>
          <w:tcPr>
            <w:tcW w:w="709" w:type="dxa"/>
            <w:shd w:val="clear" w:color="auto" w:fill="FBD4B4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2.11</w:t>
            </w:r>
          </w:p>
        </w:tc>
        <w:tc>
          <w:tcPr>
            <w:tcW w:w="7796" w:type="dxa"/>
            <w:shd w:val="clear" w:color="auto" w:fill="FBD4B4"/>
            <w:vAlign w:val="bottom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Ценные бумаги:</w:t>
            </w:r>
          </w:p>
        </w:tc>
        <w:tc>
          <w:tcPr>
            <w:tcW w:w="1560" w:type="dxa"/>
            <w:shd w:val="clear" w:color="auto" w:fill="FBD4B4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</w:p>
        </w:tc>
      </w:tr>
      <w:tr w:rsidR="00A50033" w:rsidRPr="00316C74" w:rsidTr="0014686D">
        <w:trPr>
          <w:trHeight w:val="343"/>
        </w:trPr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1</w:t>
            </w:r>
          </w:p>
        </w:tc>
        <w:tc>
          <w:tcPr>
            <w:tcW w:w="7796" w:type="dxa"/>
            <w:shd w:val="clear" w:color="auto" w:fill="FFFFFF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strike/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Свидетельство/справка о государственной регистрации эмитента акций в качестве юридического лица.</w:t>
            </w:r>
          </w:p>
        </w:tc>
        <w:tc>
          <w:tcPr>
            <w:tcW w:w="1560" w:type="dxa"/>
            <w:shd w:val="clear" w:color="auto" w:fill="FFFFFF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Копия</w:t>
            </w:r>
          </w:p>
        </w:tc>
      </w:tr>
      <w:tr w:rsidR="00A50033" w:rsidRPr="00316C74" w:rsidTr="0014686D"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2</w:t>
            </w:r>
          </w:p>
        </w:tc>
        <w:tc>
          <w:tcPr>
            <w:tcW w:w="7796" w:type="dxa"/>
            <w:shd w:val="clear" w:color="auto" w:fill="FFFFFF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Свидетельство о государственной регистрации выпуска ценных бумаг.</w:t>
            </w:r>
          </w:p>
        </w:tc>
        <w:tc>
          <w:tcPr>
            <w:tcW w:w="1560" w:type="dxa"/>
            <w:shd w:val="clear" w:color="auto" w:fill="FFFFFF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НЗК</w:t>
            </w:r>
          </w:p>
        </w:tc>
      </w:tr>
      <w:tr w:rsidR="00A50033" w:rsidRPr="00316C74" w:rsidTr="0014686D"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3</w:t>
            </w:r>
          </w:p>
        </w:tc>
        <w:tc>
          <w:tcPr>
            <w:tcW w:w="7796" w:type="dxa"/>
            <w:shd w:val="clear" w:color="auto" w:fill="FFFFFF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strike/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Выписка из реестра держателей ценных бумаг с указанием наличия или отсутствия обременений на ценные бумаги.</w:t>
            </w:r>
          </w:p>
        </w:tc>
        <w:tc>
          <w:tcPr>
            <w:tcW w:w="1560" w:type="dxa"/>
            <w:shd w:val="clear" w:color="auto" w:fill="FFFFFF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 xml:space="preserve">Оригинал </w:t>
            </w:r>
          </w:p>
        </w:tc>
      </w:tr>
      <w:tr w:rsidR="00A50033" w:rsidRPr="00316C74" w:rsidTr="0014686D"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4</w:t>
            </w:r>
          </w:p>
        </w:tc>
        <w:tc>
          <w:tcPr>
            <w:tcW w:w="7796" w:type="dxa"/>
            <w:shd w:val="clear" w:color="auto" w:fill="FFFFFF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strike/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 xml:space="preserve">Договор купли-продажи (мены, дарения и др. документы) пакета ценных бумаг (при наличии), платежные или иные документы, подтверждающие приобретение ценных </w:t>
            </w:r>
            <w:proofErr w:type="gramStart"/>
            <w:r w:rsidRPr="00316C74">
              <w:rPr>
                <w:color w:val="auto"/>
                <w:szCs w:val="24"/>
              </w:rPr>
              <w:t xml:space="preserve">бумаг.   </w:t>
            </w:r>
            <w:proofErr w:type="gramEnd"/>
          </w:p>
        </w:tc>
        <w:tc>
          <w:tcPr>
            <w:tcW w:w="1560" w:type="dxa"/>
            <w:shd w:val="clear" w:color="auto" w:fill="FFFFFF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Копия</w:t>
            </w:r>
          </w:p>
        </w:tc>
      </w:tr>
      <w:tr w:rsidR="00A50033" w:rsidRPr="00316C74" w:rsidTr="0014686D">
        <w:tc>
          <w:tcPr>
            <w:tcW w:w="709" w:type="dxa"/>
            <w:shd w:val="clear" w:color="auto" w:fill="FBD4B4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2.12</w:t>
            </w:r>
          </w:p>
        </w:tc>
        <w:tc>
          <w:tcPr>
            <w:tcW w:w="7796" w:type="dxa"/>
            <w:shd w:val="clear" w:color="auto" w:fill="FBD4B4"/>
            <w:vAlign w:val="bottom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Биологические активы (лошади, верблюды, крупный рогатый скот, овцы, свиньи, домашняя птица и др.) в виде товаров в обороте:</w:t>
            </w:r>
          </w:p>
        </w:tc>
        <w:tc>
          <w:tcPr>
            <w:tcW w:w="1560" w:type="dxa"/>
            <w:shd w:val="clear" w:color="auto" w:fill="FBD4B4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</w:p>
        </w:tc>
      </w:tr>
      <w:tr w:rsidR="00A50033" w:rsidRPr="00316C74" w:rsidTr="0014686D"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1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 xml:space="preserve">Ветеринарный паспорт (не требуется при проведении правовой экспертизы), </w:t>
            </w:r>
            <w:r w:rsidRPr="00316C74">
              <w:rPr>
                <w:rFonts w:eastAsia="Calibri"/>
                <w:color w:val="auto"/>
                <w:szCs w:val="24"/>
                <w:lang w:eastAsia="en-US"/>
              </w:rPr>
              <w:t xml:space="preserve">за исключением залога </w:t>
            </w:r>
            <w:proofErr w:type="spellStart"/>
            <w:r w:rsidRPr="00316C74">
              <w:rPr>
                <w:rFonts w:eastAsia="Calibri"/>
                <w:color w:val="auto"/>
                <w:szCs w:val="24"/>
                <w:lang w:eastAsia="en-US"/>
              </w:rPr>
              <w:t>биоактивов</w:t>
            </w:r>
            <w:proofErr w:type="spellEnd"/>
            <w:r w:rsidRPr="00316C74">
              <w:rPr>
                <w:rFonts w:eastAsia="Calibri"/>
                <w:color w:val="auto"/>
                <w:szCs w:val="24"/>
                <w:lang w:eastAsia="en-US"/>
              </w:rPr>
              <w:t xml:space="preserve">, приобретенных на откормочные </w:t>
            </w:r>
            <w:proofErr w:type="gramStart"/>
            <w:r w:rsidRPr="00316C74">
              <w:rPr>
                <w:rFonts w:eastAsia="Calibri"/>
                <w:color w:val="auto"/>
                <w:szCs w:val="24"/>
                <w:lang w:eastAsia="en-US"/>
              </w:rPr>
              <w:t>площадки.</w:t>
            </w:r>
            <w:r w:rsidRPr="00316C74">
              <w:rPr>
                <w:rFonts w:eastAsia="Calibri"/>
                <w:color w:val="auto"/>
                <w:sz w:val="20"/>
                <w:lang w:eastAsia="en-US"/>
              </w:rPr>
              <w:t xml:space="preserve">   </w:t>
            </w:r>
            <w:proofErr w:type="gramEnd"/>
            <w:r w:rsidRPr="00316C74">
              <w:rPr>
                <w:rFonts w:eastAsia="Calibri"/>
                <w:color w:val="auto"/>
                <w:sz w:val="20"/>
                <w:lang w:eastAsia="en-US"/>
              </w:rPr>
              <w:t xml:space="preserve">  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Копия</w:t>
            </w:r>
          </w:p>
        </w:tc>
      </w:tr>
      <w:tr w:rsidR="00A50033" w:rsidRPr="00316C74" w:rsidTr="0014686D"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2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316C74">
              <w:rPr>
                <w:rFonts w:eastAsia="Calibri"/>
                <w:color w:val="auto"/>
                <w:szCs w:val="24"/>
                <w:lang w:eastAsia="en-US"/>
              </w:rPr>
              <w:t>Племенное свидетельство, с письменным подтверждением статуса племенной продукции республиканской палаты соответствующей породы (не требуется при проведении правовой экспертизы</w:t>
            </w:r>
            <w:proofErr w:type="gramStart"/>
            <w:r w:rsidRPr="00316C74">
              <w:rPr>
                <w:rFonts w:eastAsia="Calibri"/>
                <w:color w:val="auto"/>
                <w:szCs w:val="24"/>
                <w:lang w:eastAsia="en-US"/>
              </w:rPr>
              <w:t xml:space="preserve">),   </w:t>
            </w:r>
            <w:proofErr w:type="gramEnd"/>
            <w:r w:rsidRPr="00316C74">
              <w:rPr>
                <w:rFonts w:eastAsia="Calibri"/>
                <w:color w:val="auto"/>
                <w:szCs w:val="24"/>
                <w:lang w:eastAsia="en-US"/>
              </w:rPr>
              <w:t xml:space="preserve">                   за исключением залога </w:t>
            </w:r>
            <w:proofErr w:type="spellStart"/>
            <w:r w:rsidRPr="00316C74">
              <w:rPr>
                <w:rFonts w:eastAsia="Calibri"/>
                <w:color w:val="auto"/>
                <w:szCs w:val="24"/>
                <w:lang w:eastAsia="en-US"/>
              </w:rPr>
              <w:t>биоактивов</w:t>
            </w:r>
            <w:proofErr w:type="spellEnd"/>
            <w:r w:rsidRPr="00316C74">
              <w:rPr>
                <w:rFonts w:eastAsia="Calibri"/>
                <w:color w:val="auto"/>
                <w:szCs w:val="24"/>
                <w:lang w:eastAsia="en-US"/>
              </w:rPr>
              <w:t xml:space="preserve"> приобретаемых на откормочные площадки. </w:t>
            </w:r>
          </w:p>
          <w:p w:rsidR="00A50033" w:rsidRPr="00316C74" w:rsidRDefault="00A50033" w:rsidP="0014686D">
            <w:pPr>
              <w:ind w:right="141"/>
              <w:contextualSpacing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316C74">
              <w:rPr>
                <w:rFonts w:eastAsia="Calibri"/>
                <w:color w:val="auto"/>
                <w:szCs w:val="24"/>
                <w:lang w:eastAsia="en-US"/>
              </w:rPr>
              <w:t>При переводе обеспечения из поступающего в будущем в твердые залоги допускается принятие племенного свидетельства от продавца, с последующим подтверждением статуса племенной продукции в течение 90 календарных дней.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316C74">
              <w:rPr>
                <w:rFonts w:eastAsia="Calibri"/>
                <w:color w:val="auto"/>
                <w:szCs w:val="24"/>
                <w:lang w:eastAsia="en-US"/>
              </w:rPr>
              <w:t>Копия</w:t>
            </w:r>
          </w:p>
        </w:tc>
      </w:tr>
      <w:tr w:rsidR="00A50033" w:rsidRPr="00316C74" w:rsidTr="0014686D">
        <w:tc>
          <w:tcPr>
            <w:tcW w:w="709" w:type="dxa"/>
            <w:tcBorders>
              <w:bottom w:val="single" w:sz="4" w:space="0" w:color="auto"/>
            </w:tcBorders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3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316C74">
              <w:rPr>
                <w:rFonts w:eastAsia="Calibri"/>
                <w:color w:val="auto"/>
                <w:szCs w:val="24"/>
                <w:lang w:eastAsia="en-US"/>
              </w:rPr>
              <w:t>Выписка из база данных по идентификации сельскохозяйственных животных, выдаваемая и заверенная подписью и печатью государственной ветеринарной организацией.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316C74">
              <w:rPr>
                <w:rFonts w:eastAsia="Calibri"/>
                <w:color w:val="auto"/>
                <w:szCs w:val="24"/>
                <w:lang w:eastAsia="en-US"/>
              </w:rPr>
              <w:t xml:space="preserve">Оригинал </w:t>
            </w:r>
          </w:p>
        </w:tc>
      </w:tr>
      <w:tr w:rsidR="00A50033" w:rsidRPr="00316C74" w:rsidTr="0014686D">
        <w:tc>
          <w:tcPr>
            <w:tcW w:w="709" w:type="dxa"/>
            <w:tcBorders>
              <w:bottom w:val="single" w:sz="4" w:space="0" w:color="auto"/>
            </w:tcBorders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4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316C74">
              <w:rPr>
                <w:rFonts w:eastAsia="Calibri"/>
                <w:color w:val="auto"/>
                <w:szCs w:val="24"/>
                <w:lang w:eastAsia="en-US"/>
              </w:rPr>
              <w:t>Выписка из информационной базы селекционной и племенной работы, заверенная подписью и печатью залогодателя (только для племенных сельскохозяйственных животных)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316C74">
              <w:rPr>
                <w:rFonts w:eastAsia="Calibri"/>
                <w:color w:val="auto"/>
                <w:szCs w:val="24"/>
                <w:lang w:eastAsia="en-US"/>
              </w:rPr>
              <w:t>Оригинал</w:t>
            </w:r>
          </w:p>
        </w:tc>
      </w:tr>
      <w:tr w:rsidR="00A50033" w:rsidRPr="00316C74" w:rsidTr="0014686D">
        <w:tc>
          <w:tcPr>
            <w:tcW w:w="709" w:type="dxa"/>
            <w:shd w:val="clear" w:color="auto" w:fill="FBD4B4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b/>
                <w:color w:val="auto"/>
                <w:szCs w:val="24"/>
                <w:lang w:val="en-US"/>
              </w:rPr>
            </w:pPr>
            <w:r w:rsidRPr="00316C74">
              <w:rPr>
                <w:b/>
                <w:color w:val="auto"/>
                <w:szCs w:val="24"/>
              </w:rPr>
              <w:t>2.1</w:t>
            </w:r>
            <w:r w:rsidRPr="00316C74">
              <w:rPr>
                <w:b/>
                <w:color w:val="auto"/>
                <w:szCs w:val="24"/>
                <w:lang w:val="en-US"/>
              </w:rPr>
              <w:t>3</w:t>
            </w:r>
          </w:p>
        </w:tc>
        <w:tc>
          <w:tcPr>
            <w:tcW w:w="7796" w:type="dxa"/>
            <w:shd w:val="clear" w:color="auto" w:fill="FBD4B4"/>
            <w:vAlign w:val="bottom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316C74">
              <w:rPr>
                <w:rFonts w:eastAsia="Calibri"/>
                <w:b/>
                <w:color w:val="auto"/>
                <w:szCs w:val="24"/>
                <w:lang w:eastAsia="en-US"/>
              </w:rPr>
              <w:t>Продукция растениеводства:</w:t>
            </w:r>
          </w:p>
        </w:tc>
        <w:tc>
          <w:tcPr>
            <w:tcW w:w="1560" w:type="dxa"/>
            <w:shd w:val="clear" w:color="auto" w:fill="FBD4B4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A50033" w:rsidRPr="00316C74" w:rsidTr="0014686D">
        <w:trPr>
          <w:trHeight w:val="65"/>
        </w:trPr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1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316C74">
              <w:rPr>
                <w:rFonts w:eastAsia="Calibri"/>
                <w:color w:val="auto"/>
                <w:szCs w:val="24"/>
                <w:lang w:eastAsia="en-US"/>
              </w:rPr>
              <w:t>Зерновая расписка – документ, выданный Регистратором зерновых расписок (Регистратор – АО «Информационно-учетный центр»).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316C74">
              <w:rPr>
                <w:rFonts w:eastAsia="Calibri"/>
                <w:color w:val="auto"/>
                <w:szCs w:val="24"/>
                <w:lang w:eastAsia="en-US"/>
              </w:rPr>
              <w:t>Оригинал</w:t>
            </w:r>
          </w:p>
        </w:tc>
      </w:tr>
      <w:tr w:rsidR="00A50033" w:rsidRPr="00316C74" w:rsidTr="0014686D">
        <w:trPr>
          <w:trHeight w:val="65"/>
        </w:trPr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2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316C74">
              <w:rPr>
                <w:rFonts w:eastAsia="Calibri"/>
                <w:color w:val="auto"/>
                <w:szCs w:val="24"/>
                <w:lang w:eastAsia="en-US"/>
              </w:rPr>
              <w:t>Сведения о зерновых расписках и их держателях – документ, выданный информационной системой зерновых расписок.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316C74">
              <w:rPr>
                <w:rFonts w:eastAsia="Calibri"/>
                <w:color w:val="auto"/>
                <w:szCs w:val="24"/>
                <w:lang w:eastAsia="en-US"/>
              </w:rPr>
              <w:t>Оригинал</w:t>
            </w:r>
          </w:p>
        </w:tc>
      </w:tr>
      <w:tr w:rsidR="00A50033" w:rsidRPr="00316C74" w:rsidTr="0014686D">
        <w:trPr>
          <w:trHeight w:val="65"/>
        </w:trPr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lastRenderedPageBreak/>
              <w:t>3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316C74">
              <w:rPr>
                <w:rFonts w:eastAsia="Calibri"/>
                <w:color w:val="auto"/>
                <w:szCs w:val="24"/>
                <w:lang w:eastAsia="en-US"/>
              </w:rPr>
              <w:t xml:space="preserve">Лицензия хлебоприемного предприятия, выданная уполномоченным органом. 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316C74">
              <w:rPr>
                <w:rFonts w:eastAsia="Calibri"/>
                <w:color w:val="auto"/>
                <w:szCs w:val="24"/>
                <w:lang w:eastAsia="en-US"/>
              </w:rPr>
              <w:t>Копия</w:t>
            </w:r>
          </w:p>
        </w:tc>
      </w:tr>
      <w:tr w:rsidR="00A50033" w:rsidRPr="00316C74" w:rsidTr="0014686D">
        <w:trPr>
          <w:trHeight w:val="65"/>
        </w:trPr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4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316C74">
              <w:rPr>
                <w:rFonts w:eastAsia="Calibri"/>
                <w:color w:val="auto"/>
                <w:szCs w:val="24"/>
                <w:lang w:eastAsia="en-US"/>
              </w:rPr>
              <w:t>Договор на хранение зерна, заключенный с хлебоприемным предприятием (если залогодатель не является собственником хлебоприемного предприятия) и документ, подтверждающий оплату услуг по хранению зерна на период, превышающий срок кредитования.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316C74">
              <w:rPr>
                <w:rFonts w:eastAsia="Calibri"/>
                <w:color w:val="auto"/>
                <w:szCs w:val="24"/>
                <w:lang w:eastAsia="en-US"/>
              </w:rPr>
              <w:t xml:space="preserve">Копия </w:t>
            </w:r>
          </w:p>
        </w:tc>
      </w:tr>
      <w:tr w:rsidR="00A50033" w:rsidRPr="00316C74" w:rsidTr="0014686D"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5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316C74">
              <w:rPr>
                <w:rFonts w:eastAsia="Calibri"/>
                <w:color w:val="auto"/>
                <w:szCs w:val="24"/>
                <w:lang w:eastAsia="en-US"/>
              </w:rPr>
              <w:t>Договор участия, заключенного между хлебоприемным предприятием и Фондом гарантирования исполнения обязательств по зерновым распискам/в случае, если хлебоприемное предприятие не является участником системы гарантирования – Договор страхования гражданско-правовой ответственности ХПП перед держателем зерновой расписки, а также документы, подтверждающие уплату хлебоприемным предприятием страховой премии.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316C74">
              <w:rPr>
                <w:rFonts w:eastAsia="Calibri"/>
                <w:color w:val="auto"/>
                <w:szCs w:val="24"/>
                <w:lang w:eastAsia="en-US"/>
              </w:rPr>
              <w:t>Копия</w:t>
            </w:r>
          </w:p>
        </w:tc>
      </w:tr>
      <w:tr w:rsidR="00A50033" w:rsidRPr="00316C74" w:rsidTr="0014686D"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6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strike/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Справка с уполномоченного органа, подтверждающая отсутствие обременений на продукцию растениеводства или выписка из реестра залога движимого имущества.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Оригинал</w:t>
            </w:r>
          </w:p>
        </w:tc>
      </w:tr>
      <w:tr w:rsidR="00A50033" w:rsidRPr="00316C74" w:rsidTr="0014686D">
        <w:tc>
          <w:tcPr>
            <w:tcW w:w="709" w:type="dxa"/>
            <w:shd w:val="clear" w:color="auto" w:fill="FBD4B4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2.14</w:t>
            </w:r>
          </w:p>
        </w:tc>
        <w:tc>
          <w:tcPr>
            <w:tcW w:w="7796" w:type="dxa"/>
            <w:shd w:val="clear" w:color="auto" w:fill="FBD4B4"/>
            <w:vAlign w:val="bottom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Право требования:</w:t>
            </w:r>
          </w:p>
        </w:tc>
        <w:tc>
          <w:tcPr>
            <w:tcW w:w="1560" w:type="dxa"/>
            <w:shd w:val="clear" w:color="auto" w:fill="FBD4B4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</w:p>
        </w:tc>
      </w:tr>
      <w:tr w:rsidR="00A50033" w:rsidRPr="00316C74" w:rsidTr="0014686D"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1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Договор или иные документы, по которому передается право требования.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Оригинал</w:t>
            </w:r>
          </w:p>
        </w:tc>
      </w:tr>
      <w:tr w:rsidR="00A50033" w:rsidRPr="00316C74" w:rsidTr="0014686D">
        <w:trPr>
          <w:trHeight w:val="828"/>
        </w:trPr>
        <w:tc>
          <w:tcPr>
            <w:tcW w:w="709" w:type="dxa"/>
            <w:vAlign w:val="center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2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По недвижимому и движимому имуществу также предоставляются:</w:t>
            </w:r>
          </w:p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Документы, подтверждающие покупную цену закладываемого имущества, если кредит выдается для приобретения этого имущества.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Копия</w:t>
            </w:r>
          </w:p>
        </w:tc>
      </w:tr>
      <w:tr w:rsidR="00A50033" w:rsidRPr="00316C74" w:rsidTr="0014686D">
        <w:tc>
          <w:tcPr>
            <w:tcW w:w="709" w:type="dxa"/>
            <w:shd w:val="clear" w:color="auto" w:fill="FBD4B4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2.15</w:t>
            </w:r>
          </w:p>
        </w:tc>
        <w:tc>
          <w:tcPr>
            <w:tcW w:w="7796" w:type="dxa"/>
            <w:shd w:val="clear" w:color="auto" w:fill="FBD4B4"/>
            <w:vAlign w:val="bottom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Гарантии банков второго уровня:</w:t>
            </w:r>
          </w:p>
        </w:tc>
        <w:tc>
          <w:tcPr>
            <w:tcW w:w="1560" w:type="dxa"/>
            <w:shd w:val="clear" w:color="auto" w:fill="FBD4B4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</w:p>
        </w:tc>
      </w:tr>
      <w:tr w:rsidR="00A50033" w:rsidRPr="00316C74" w:rsidTr="0014686D">
        <w:trPr>
          <w:trHeight w:val="321"/>
        </w:trPr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1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 xml:space="preserve">Решение уполномоченного органа гаранта о выдаче гарантии в обеспечение исполнения обязательств заемщика (выписка из решения кредитного комитета или другого уполномоченного органа Банка, заверенная </w:t>
            </w:r>
            <w:proofErr w:type="gramStart"/>
            <w:r w:rsidRPr="00316C74">
              <w:rPr>
                <w:color w:val="auto"/>
                <w:szCs w:val="24"/>
              </w:rPr>
              <w:t>печатью)/</w:t>
            </w:r>
            <w:proofErr w:type="gramEnd"/>
            <w:r w:rsidRPr="00316C74">
              <w:rPr>
                <w:color w:val="auto"/>
                <w:szCs w:val="24"/>
              </w:rPr>
              <w:t>письмо Банка о принятом решении о выдаче гарантии в обеспечение исполнения обязательств заемщика.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Копия, заверенная подписью сотрудника и печатью банка/</w:t>
            </w:r>
          </w:p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Оригинал (для письма)</w:t>
            </w:r>
          </w:p>
        </w:tc>
      </w:tr>
      <w:tr w:rsidR="00A50033" w:rsidRPr="00316C74" w:rsidTr="0014686D">
        <w:trPr>
          <w:trHeight w:val="321"/>
        </w:trPr>
        <w:tc>
          <w:tcPr>
            <w:tcW w:w="709" w:type="dxa"/>
            <w:vAlign w:val="center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2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Документы, подтверждающие полномочия лица на подписание договора гарантии /гарантийного обязательства от имени гаранта или договора поручительства от имени поручителя.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 xml:space="preserve">НЗК </w:t>
            </w:r>
          </w:p>
        </w:tc>
      </w:tr>
      <w:tr w:rsidR="00A50033" w:rsidRPr="00316C74" w:rsidTr="0014686D">
        <w:tc>
          <w:tcPr>
            <w:tcW w:w="709" w:type="dxa"/>
            <w:shd w:val="clear" w:color="auto" w:fill="FBD4B4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2.16</w:t>
            </w:r>
          </w:p>
        </w:tc>
        <w:tc>
          <w:tcPr>
            <w:tcW w:w="7796" w:type="dxa"/>
            <w:shd w:val="clear" w:color="auto" w:fill="FBD4B4"/>
            <w:vAlign w:val="bottom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Гарантии (поручительство) третьих лиц:</w:t>
            </w:r>
          </w:p>
        </w:tc>
        <w:tc>
          <w:tcPr>
            <w:tcW w:w="1560" w:type="dxa"/>
            <w:shd w:val="clear" w:color="auto" w:fill="FBD4B4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</w:p>
        </w:tc>
      </w:tr>
      <w:tr w:rsidR="00A50033" w:rsidRPr="00316C74" w:rsidTr="0014686D">
        <w:trPr>
          <w:trHeight w:val="153"/>
        </w:trPr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1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 xml:space="preserve">Договор гарантии (поручительства); 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Оригинал</w:t>
            </w:r>
          </w:p>
        </w:tc>
      </w:tr>
      <w:tr w:rsidR="00A50033" w:rsidRPr="00316C74" w:rsidTr="0014686D">
        <w:trPr>
          <w:trHeight w:val="321"/>
        </w:trPr>
        <w:tc>
          <w:tcPr>
            <w:tcW w:w="709" w:type="dxa"/>
            <w:vAlign w:val="center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2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Финансовая отчетность гаранта (поручителя) – юридического лица за последний отчетный год с приложением копии налоговой декларации и (или) размещенная на WEB-сайтах информация, позволяющая сделать анализ финансового состояния гаранта (поручителя) – юридического лица.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Копия</w:t>
            </w:r>
          </w:p>
        </w:tc>
      </w:tr>
      <w:tr w:rsidR="00A50033" w:rsidRPr="00316C74" w:rsidTr="0014686D">
        <w:trPr>
          <w:trHeight w:val="321"/>
        </w:trPr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3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 xml:space="preserve">Согласие на предоставление информации о гаранте в первое кредитное бюро, согласие субъекта кредитной истории на выдачу кредитного отчета получателю кредитного </w:t>
            </w:r>
            <w:proofErr w:type="gramStart"/>
            <w:r w:rsidRPr="00316C74">
              <w:rPr>
                <w:color w:val="auto"/>
                <w:szCs w:val="24"/>
              </w:rPr>
              <w:t xml:space="preserve">отчета.   </w:t>
            </w:r>
            <w:proofErr w:type="gramEnd"/>
            <w:r w:rsidRPr="00316C74">
              <w:rPr>
                <w:color w:val="auto"/>
                <w:szCs w:val="24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Оригинал</w:t>
            </w:r>
          </w:p>
        </w:tc>
      </w:tr>
      <w:tr w:rsidR="00A50033" w:rsidRPr="00316C74" w:rsidTr="0014686D">
        <w:trPr>
          <w:trHeight w:val="321"/>
        </w:trPr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4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Кредитный отчет о гаранте (поручителе), полученный от кредитного бюро.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 xml:space="preserve">Копия </w:t>
            </w:r>
          </w:p>
        </w:tc>
      </w:tr>
      <w:tr w:rsidR="00A50033" w:rsidRPr="00316C74" w:rsidTr="0014686D">
        <w:trPr>
          <w:trHeight w:val="321"/>
        </w:trPr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5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Документы, отражающие заработную плату и (или) иные доходы гаранта (поручителя) физического лица за шесть последовательных месяцев, предшествующих дате обращения заемщика.</w:t>
            </w:r>
          </w:p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 xml:space="preserve">В случае отсутствия доходов – заявление от гаранта (поручителя) об отсутствии источников </w:t>
            </w:r>
            <w:proofErr w:type="gramStart"/>
            <w:r w:rsidRPr="00316C74">
              <w:rPr>
                <w:color w:val="auto"/>
                <w:szCs w:val="24"/>
              </w:rPr>
              <w:t xml:space="preserve">дохода.  </w:t>
            </w:r>
            <w:proofErr w:type="gramEnd"/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 xml:space="preserve">  Оригинал</w:t>
            </w:r>
          </w:p>
        </w:tc>
      </w:tr>
      <w:tr w:rsidR="00A50033" w:rsidRPr="00316C74" w:rsidTr="0014686D">
        <w:trPr>
          <w:trHeight w:val="321"/>
        </w:trPr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lastRenderedPageBreak/>
              <w:t>6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 xml:space="preserve">Выписка накопительного пенсионного фонда с индивидуального пенсионного счета гаранта (поручителя) физического лица за последние шесть месяцев. 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 xml:space="preserve">  Оригинал</w:t>
            </w:r>
          </w:p>
        </w:tc>
      </w:tr>
      <w:tr w:rsidR="00A50033" w:rsidRPr="00316C74" w:rsidTr="0014686D">
        <w:tc>
          <w:tcPr>
            <w:tcW w:w="709" w:type="dxa"/>
            <w:shd w:val="clear" w:color="auto" w:fill="FBD4B4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2.17</w:t>
            </w:r>
          </w:p>
        </w:tc>
        <w:tc>
          <w:tcPr>
            <w:tcW w:w="7796" w:type="dxa"/>
            <w:shd w:val="clear" w:color="auto" w:fill="FBD4B4"/>
            <w:vAlign w:val="bottom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b/>
                <w:color w:val="auto"/>
                <w:szCs w:val="24"/>
              </w:rPr>
            </w:pPr>
            <w:r w:rsidRPr="00316C74">
              <w:rPr>
                <w:b/>
                <w:color w:val="auto"/>
                <w:szCs w:val="24"/>
              </w:rPr>
              <w:t>Доля в уставном капитале хозяйственного товарищества:</w:t>
            </w:r>
          </w:p>
        </w:tc>
        <w:tc>
          <w:tcPr>
            <w:tcW w:w="1560" w:type="dxa"/>
            <w:shd w:val="clear" w:color="auto" w:fill="FBD4B4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</w:p>
        </w:tc>
      </w:tr>
      <w:tr w:rsidR="00A50033" w:rsidRPr="00316C74" w:rsidTr="0014686D">
        <w:trPr>
          <w:trHeight w:val="321"/>
        </w:trPr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1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strike/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 xml:space="preserve">Договор купли-продажи, акт приема-передачи доли (при наличии) в уставном капитале, также копии платежных документов, подтверждающих приобретение </w:t>
            </w:r>
            <w:proofErr w:type="gramStart"/>
            <w:r w:rsidRPr="00316C74">
              <w:rPr>
                <w:color w:val="auto"/>
                <w:szCs w:val="24"/>
              </w:rPr>
              <w:t xml:space="preserve">доли.  </w:t>
            </w:r>
            <w:proofErr w:type="gramEnd"/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Оригинал</w:t>
            </w:r>
          </w:p>
        </w:tc>
      </w:tr>
      <w:tr w:rsidR="00A50033" w:rsidRPr="00316C74" w:rsidTr="0014686D">
        <w:trPr>
          <w:trHeight w:val="321"/>
        </w:trPr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2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Справка уполномоченного органа, подтверждающая отсутствие обременений на долю в уставном капитале либо выписка из реестра участников товарищества.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Оригинал</w:t>
            </w:r>
          </w:p>
        </w:tc>
      </w:tr>
      <w:tr w:rsidR="00A50033" w:rsidRPr="00316C74" w:rsidTr="0014686D">
        <w:trPr>
          <w:trHeight w:val="269"/>
        </w:trPr>
        <w:tc>
          <w:tcPr>
            <w:tcW w:w="709" w:type="dxa"/>
          </w:tcPr>
          <w:p w:rsidR="00A50033" w:rsidRPr="00316C74" w:rsidRDefault="00A50033" w:rsidP="0014686D">
            <w:pPr>
              <w:ind w:left="-108"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3</w:t>
            </w:r>
          </w:p>
        </w:tc>
        <w:tc>
          <w:tcPr>
            <w:tcW w:w="7796" w:type="dxa"/>
          </w:tcPr>
          <w:p w:rsidR="00A50033" w:rsidRPr="00316C74" w:rsidRDefault="00A50033" w:rsidP="0014686D">
            <w:pPr>
              <w:ind w:right="141"/>
              <w:contextualSpacing/>
              <w:jc w:val="both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Учредительные документы ТОО согласно перечню для юридических лиц, указанных выше.</w:t>
            </w:r>
          </w:p>
        </w:tc>
        <w:tc>
          <w:tcPr>
            <w:tcW w:w="1560" w:type="dxa"/>
          </w:tcPr>
          <w:p w:rsidR="00A50033" w:rsidRPr="00316C74" w:rsidRDefault="00A50033" w:rsidP="0014686D">
            <w:pPr>
              <w:ind w:right="141"/>
              <w:contextualSpacing/>
              <w:jc w:val="center"/>
              <w:rPr>
                <w:color w:val="auto"/>
                <w:szCs w:val="24"/>
              </w:rPr>
            </w:pPr>
            <w:r w:rsidRPr="00316C74">
              <w:rPr>
                <w:color w:val="auto"/>
                <w:szCs w:val="24"/>
              </w:rPr>
              <w:t>Копия</w:t>
            </w:r>
          </w:p>
        </w:tc>
      </w:tr>
    </w:tbl>
    <w:p w:rsidR="00A50033" w:rsidRPr="00316C74" w:rsidRDefault="00A50033" w:rsidP="00A5003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5" w:right="141" w:hanging="135"/>
        <w:jc w:val="right"/>
        <w:rPr>
          <w:rFonts w:eastAsia="Calibri"/>
          <w:b/>
          <w:color w:val="auto"/>
          <w:szCs w:val="24"/>
          <w:lang w:eastAsia="en-US"/>
        </w:rPr>
      </w:pPr>
    </w:p>
    <w:p w:rsidR="00A50033" w:rsidRPr="00316C74" w:rsidRDefault="00A50033" w:rsidP="00A5003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5" w:right="141" w:hanging="135"/>
        <w:jc w:val="right"/>
        <w:rPr>
          <w:rFonts w:eastAsia="Calibri"/>
          <w:b/>
          <w:color w:val="auto"/>
          <w:szCs w:val="24"/>
          <w:lang w:eastAsia="en-US"/>
        </w:rPr>
      </w:pPr>
    </w:p>
    <w:p w:rsidR="00A50033" w:rsidRPr="00316C74" w:rsidRDefault="00A50033" w:rsidP="00A5003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5" w:right="141" w:hanging="135"/>
        <w:jc w:val="right"/>
        <w:rPr>
          <w:rFonts w:eastAsia="Calibri"/>
          <w:b/>
          <w:color w:val="auto"/>
          <w:szCs w:val="24"/>
          <w:lang w:eastAsia="en-US"/>
        </w:rPr>
      </w:pPr>
    </w:p>
    <w:p w:rsidR="00A50033" w:rsidRPr="00316C74" w:rsidRDefault="00A50033" w:rsidP="00A5003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5" w:right="141" w:hanging="135"/>
        <w:jc w:val="right"/>
        <w:rPr>
          <w:rFonts w:eastAsia="Calibri"/>
          <w:b/>
          <w:color w:val="auto"/>
          <w:szCs w:val="24"/>
          <w:lang w:eastAsia="en-US"/>
        </w:rPr>
      </w:pPr>
    </w:p>
    <w:p w:rsidR="00A50033" w:rsidRPr="00316C74" w:rsidRDefault="00A50033" w:rsidP="00A5003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5" w:right="141" w:hanging="135"/>
        <w:jc w:val="right"/>
        <w:rPr>
          <w:rFonts w:eastAsia="Calibri"/>
          <w:b/>
          <w:color w:val="auto"/>
          <w:szCs w:val="24"/>
          <w:lang w:eastAsia="en-US"/>
        </w:rPr>
      </w:pPr>
    </w:p>
    <w:p w:rsidR="00A50033" w:rsidRPr="00316C74" w:rsidRDefault="00A50033" w:rsidP="00A5003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5" w:right="141" w:hanging="135"/>
        <w:jc w:val="right"/>
        <w:rPr>
          <w:rFonts w:eastAsia="Calibri"/>
          <w:b/>
          <w:color w:val="auto"/>
          <w:szCs w:val="24"/>
          <w:lang w:eastAsia="en-US"/>
        </w:rPr>
      </w:pPr>
    </w:p>
    <w:p w:rsidR="00A50033" w:rsidRPr="00316C74" w:rsidRDefault="00A50033" w:rsidP="00A5003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5" w:right="141" w:hanging="135"/>
        <w:jc w:val="right"/>
        <w:rPr>
          <w:rFonts w:eastAsia="Calibri"/>
          <w:b/>
          <w:color w:val="auto"/>
          <w:szCs w:val="24"/>
          <w:lang w:eastAsia="en-US"/>
        </w:rPr>
      </w:pPr>
    </w:p>
    <w:p w:rsidR="00767CC3" w:rsidRDefault="00767CC3"/>
    <w:sectPr w:rsidR="00767CC3" w:rsidSect="00A5003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238EC"/>
    <w:multiLevelType w:val="hybridMultilevel"/>
    <w:tmpl w:val="E522CFD0"/>
    <w:lvl w:ilvl="0" w:tplc="CDEA2162">
      <w:numFmt w:val="bullet"/>
      <w:lvlText w:val="–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33"/>
    <w:rsid w:val="00302D74"/>
    <w:rsid w:val="00767CC3"/>
    <w:rsid w:val="00A5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A9E9C-01F5-49DC-A228-C6753FA9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03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 Даурембеков</dc:creator>
  <cp:keywords/>
  <dc:description/>
  <cp:lastModifiedBy>Учетная запись Майкрософт</cp:lastModifiedBy>
  <cp:revision>2</cp:revision>
  <dcterms:created xsi:type="dcterms:W3CDTF">2022-09-12T11:04:00Z</dcterms:created>
  <dcterms:modified xsi:type="dcterms:W3CDTF">2022-09-12T11:04:00Z</dcterms:modified>
</cp:coreProperties>
</file>